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4D91" w14:textId="0DC61D7A" w:rsidR="003C611B" w:rsidRPr="003C611B" w:rsidRDefault="003C611B" w:rsidP="00933848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 xml:space="preserve">Załącznik nr </w:t>
      </w:r>
      <w:r w:rsidR="00B75265">
        <w:rPr>
          <w:rFonts w:ascii="Verdana" w:eastAsia="Calibri" w:hAnsi="Verdana" w:cs="Tahoma"/>
          <w:b/>
          <w:color w:val="auto"/>
          <w:spacing w:val="0"/>
          <w:szCs w:val="20"/>
        </w:rPr>
        <w:t>2.1</w:t>
      </w:r>
      <w:r w:rsidR="00B75265" w:rsidRPr="003C611B">
        <w:rPr>
          <w:rFonts w:ascii="Verdana" w:eastAsia="Calibri" w:hAnsi="Verdana" w:cs="Tahoma"/>
          <w:b/>
          <w:color w:val="auto"/>
          <w:spacing w:val="0"/>
          <w:szCs w:val="20"/>
        </w:rPr>
        <w:t xml:space="preserve"> 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do SWZ</w:t>
      </w:r>
    </w:p>
    <w:p w14:paraId="6268B899" w14:textId="4B51C8CD" w:rsidR="003C611B" w:rsidRDefault="003C611B" w:rsidP="00933848">
      <w:pPr>
        <w:spacing w:after="0" w:line="276" w:lineRule="auto"/>
        <w:ind w:left="424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3C611B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062EF8">
        <w:rPr>
          <w:rFonts w:ascii="Verdana" w:eastAsia="Calibri" w:hAnsi="Verdana" w:cs="Tahoma"/>
          <w:b/>
          <w:color w:val="auto"/>
          <w:spacing w:val="0"/>
          <w:szCs w:val="20"/>
        </w:rPr>
        <w:t>40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.2022</w:t>
      </w:r>
    </w:p>
    <w:p w14:paraId="1B913F8F" w14:textId="25B1440C" w:rsidR="00036EFA" w:rsidRDefault="00036EFA" w:rsidP="00036EFA">
      <w:pPr>
        <w:spacing w:after="0" w:line="276" w:lineRule="auto"/>
        <w:ind w:left="4248"/>
        <w:rPr>
          <w:rFonts w:ascii="Verdana" w:eastAsia="Calibri" w:hAnsi="Verdana" w:cs="Tahoma"/>
          <w:b/>
          <w:color w:val="auto"/>
          <w:spacing w:val="0"/>
          <w:szCs w:val="20"/>
        </w:rPr>
      </w:pPr>
      <w:r>
        <w:rPr>
          <w:rFonts w:ascii="Verdana" w:eastAsia="Calibri" w:hAnsi="Verdana" w:cs="Tahoma"/>
          <w:b/>
          <w:color w:val="auto"/>
          <w:spacing w:val="0"/>
          <w:szCs w:val="20"/>
        </w:rPr>
        <w:t>Opis przedmiotu zamówienia</w:t>
      </w:r>
      <w:r w:rsidR="00C96AE6">
        <w:rPr>
          <w:rFonts w:ascii="Verdana" w:eastAsia="Calibri" w:hAnsi="Verdana" w:cs="Tahoma"/>
          <w:b/>
          <w:color w:val="auto"/>
          <w:spacing w:val="0"/>
          <w:szCs w:val="20"/>
        </w:rPr>
        <w:t xml:space="preserve">/Formularz cenowy </w:t>
      </w:r>
    </w:p>
    <w:p w14:paraId="43B7A3FA" w14:textId="77777777" w:rsidR="00933848" w:rsidRPr="003C611B" w:rsidRDefault="00B75265" w:rsidP="00933848">
      <w:pPr>
        <w:spacing w:after="0" w:line="276" w:lineRule="auto"/>
        <w:ind w:left="4248"/>
        <w:rPr>
          <w:rFonts w:ascii="Verdana" w:eastAsia="Calibri" w:hAnsi="Verdana" w:cs="Tahoma"/>
          <w:b/>
          <w:color w:val="auto"/>
          <w:spacing w:val="0"/>
          <w:szCs w:val="20"/>
        </w:rPr>
      </w:pPr>
      <w:r>
        <w:rPr>
          <w:rFonts w:ascii="Verdana" w:eastAsia="Calibri" w:hAnsi="Verdana" w:cs="Tahoma"/>
          <w:b/>
          <w:color w:val="auto"/>
          <w:spacing w:val="0"/>
          <w:szCs w:val="20"/>
        </w:rPr>
        <w:t>Dla części 1</w:t>
      </w:r>
    </w:p>
    <w:p w14:paraId="1C97552C" w14:textId="771A7633" w:rsidR="00B75265" w:rsidRDefault="00B75265" w:rsidP="00036EFA">
      <w:pPr>
        <w:spacing w:after="0" w:line="276" w:lineRule="auto"/>
        <w:ind w:left="4248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578B47D2" w14:textId="77777777" w:rsidR="00036EFA" w:rsidRPr="003C611B" w:rsidRDefault="00036EFA" w:rsidP="00933848">
      <w:pPr>
        <w:spacing w:after="0" w:line="276" w:lineRule="auto"/>
        <w:ind w:left="4248"/>
        <w:rPr>
          <w:rFonts w:ascii="Verdana" w:eastAsia="Calibri" w:hAnsi="Verdana" w:cs="Tahoma"/>
          <w:b/>
          <w:color w:val="auto"/>
          <w:spacing w:val="0"/>
          <w:szCs w:val="20"/>
        </w:rPr>
      </w:pPr>
    </w:p>
    <w:tbl>
      <w:tblPr>
        <w:tblW w:w="124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1232"/>
        <w:gridCol w:w="973"/>
        <w:gridCol w:w="1211"/>
        <w:gridCol w:w="1092"/>
        <w:gridCol w:w="1445"/>
      </w:tblGrid>
      <w:tr w:rsidR="00933848" w:rsidRPr="007B5417" w14:paraId="5476298D" w14:textId="0B129910" w:rsidTr="008C78AB">
        <w:trPr>
          <w:trHeight w:val="4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5D6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4F47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Opis parametrów technicznych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3D26" w14:textId="71474ACC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Ilość sztuk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D484B" w14:textId="008888F0" w:rsidR="00933848" w:rsidRPr="007B5417" w:rsidDel="00F345EA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Cena jednostkowa netto [zł]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ED8" w14:textId="1FD802CC" w:rsidR="00933848" w:rsidRPr="007B5417" w:rsidDel="00F345EA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Cena jednostkowa brutto [zł]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B4B2" w14:textId="77777777" w:rsidR="00933848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Wartość netto [zł] </w:t>
            </w:r>
          </w:p>
          <w:p w14:paraId="5CEB9313" w14:textId="065A1A89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poz</w:t>
            </w:r>
            <w:proofErr w:type="spellEnd"/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3*poz. 4)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2AD" w14:textId="77777777" w:rsidR="00933848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Wartość brutto [zł]</w:t>
            </w:r>
          </w:p>
          <w:p w14:paraId="17C73934" w14:textId="14BFEDF6" w:rsidR="00933848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(poz. 3* poz. 5)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BD7F" w14:textId="3678E834" w:rsidR="00933848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Oferowane urządzenie (nazwa /model /producent)</w:t>
            </w:r>
          </w:p>
        </w:tc>
      </w:tr>
      <w:tr w:rsidR="00933848" w:rsidRPr="007B5417" w14:paraId="75508F4B" w14:textId="4320A44D" w:rsidTr="008C78AB">
        <w:trPr>
          <w:trHeight w:val="3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5321" w14:textId="20FFFA72" w:rsidR="00933848" w:rsidRPr="007B5417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CD648" w14:textId="77E7F841" w:rsidR="00933848" w:rsidRPr="007B5417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551F7" w14:textId="0C6A2C96" w:rsidR="00933848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620FB" w14:textId="6587F15A" w:rsidR="00933848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C7D" w14:textId="49484C69" w:rsidR="00933848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5244" w14:textId="5F4988A8" w:rsidR="00933848" w:rsidRPr="007B5417" w:rsidDel="00F345EA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D29" w14:textId="3FA2C7D4" w:rsidR="00933848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EC7" w14:textId="348E6DAD" w:rsidR="00933848" w:rsidRDefault="00933848" w:rsidP="00F345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8</w:t>
            </w:r>
          </w:p>
        </w:tc>
      </w:tr>
      <w:tr w:rsidR="00933848" w:rsidRPr="007B5417" w14:paraId="265B4FFC" w14:textId="3C7A0C35" w:rsidTr="00933848">
        <w:trPr>
          <w:trHeight w:val="298"/>
        </w:trPr>
        <w:tc>
          <w:tcPr>
            <w:tcW w:w="1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5176E17" w14:textId="0A7A7767" w:rsidR="00933848" w:rsidRPr="007B5417" w:rsidDel="00036EFA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Część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1332705" w14:textId="77777777" w:rsidR="00933848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648052A3" w14:textId="126CB586" w:rsidTr="008C78AB">
        <w:trPr>
          <w:trHeight w:val="95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4719" w14:textId="77777777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auto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auto"/>
                <w:spacing w:val="0"/>
                <w:sz w:val="16"/>
                <w:szCs w:val="16"/>
                <w:lang w:eastAsia="pl-PL"/>
              </w:rPr>
              <w:t>Mikroskop stereoskopowy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47AC" w14:textId="295B2479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Mikroskop stereoskopowy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. 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Źródło światła LED, Regulacja ostrości Makro, Głowica binokularowa, Powiększenie okularu 10x, obiektywy 2x/4x, oświetlenie przechodzące, odbite, powiększenia mikroskopu 20x 40x, zasilane 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AC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i baterie. Minimalna gwarancja 24 miesiące.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772A" w14:textId="1BB11709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F2651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F29" w14:textId="37720E66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C78" w14:textId="755CB49C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71A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8CD3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47D71238" w14:textId="18336EDE" w:rsidTr="008C78AB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627" w14:textId="6F90BCBF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Mikroskop optyczny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8EF6" w14:textId="3EDB7C2D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Mikroskop optyczny. 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Ź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ródło oświetlenia LED, Obiektywy 4x 10x 40x 100x, Reg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u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lacja ostrości mikro/makro, Oświetlenie przechodzące, Głowica </w:t>
            </w:r>
            <w:proofErr w:type="spellStart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monookularowa</w:t>
            </w:r>
            <w:proofErr w:type="spellEnd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, rewolwer czteroobiektywowy, pokrętła współosiowe, dwustronne, możliwość rozbudowy ciemne pole, kontrast, polaryzacja, powiększenia mikroskopu 40x 100x 4000x 1000x, powiększenie okularu 10x, zasilanie mikroskopu AC, pole widzenia 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okularów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18mm.Minimalna gwarancja 24 miesiące.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76F" w14:textId="24C2F881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02D16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70D" w14:textId="4D8DB1F0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CEAA" w14:textId="149BA378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897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A00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447648D7" w14:textId="5C596330" w:rsidTr="008C78AB">
        <w:trPr>
          <w:trHeight w:val="28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C9B" w14:textId="77777777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Kamera mikroskopowa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1D1E" w14:textId="25E1E63B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 xml:space="preserve">Kamera pasująca do mikroskopu optycznego </w:t>
            </w:r>
            <w:proofErr w:type="spellStart"/>
            <w:r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trinokularowego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 xml:space="preserve"> Sensor: CMOS; Rozdzielczość sensora (W x H): 3072 x 2048 pikseli; Fizyczny rozmiar sensora: 7,37 x 4,92 mm; Zakres spektralny: 380 – 650 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nm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 xml:space="preserve">; Obsługiwane rozdzielczości: 15 FPS @ 3072 x 2048 pikseli ;  26 FPS @ 1536 x 1024 pikseli;  Parametry zasilania: USB 5V;  Czułość: 425 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mV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 xml:space="preserve"> na 1/30s; Format zapisu video / zdjęć: 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avi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, 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wmv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, *mp4 / *jpg, 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png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, 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tif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, *jp2, 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webp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, 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tft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, *</w:t>
            </w:r>
            <w:proofErr w:type="spellStart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dng</w:t>
            </w:r>
            <w:proofErr w:type="spellEnd"/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 xml:space="preserve"> (RAW); Temperatura pracy: -10 / +50 °C; Typ sensora: kolor; Rozdzielczość sensora: 6,3 MP; Rozmiar piksela: 2,4 µm; Przekątna sensora: 1/1,8"; Interfejs danych: USB 3.0 / USB 2.0; Zakres czasów ekspozycji: 0,244 ms - 2s; Wielkość piksela: 2.4 x 2.4 µm; Balans bieli: ROI/manualny. Minimalna gwarancja 24 miesiące.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D453" w14:textId="1045A409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F64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380" w14:textId="4BFE8A38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587C" w14:textId="2AF4C78B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022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0353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5BA5FB9E" w14:textId="486F6DA7" w:rsidTr="008C78AB">
        <w:trPr>
          <w:trHeight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3800" w14:textId="77777777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Mikroskop cyfrowy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0DF2" w14:textId="18665438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Mikroskop cyfrowy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. Ź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ródło oświetlenia LED, odległość robocza 150mm, oświetlenie odbite, powiększenie mikroskopu 20-300x, zasil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a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nie mikroskopu 5v z </w:t>
            </w:r>
            <w:proofErr w:type="spellStart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usb</w:t>
            </w:r>
            <w:proofErr w:type="spellEnd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. Minimalna gwarancja 24 miesiące.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4B9" w14:textId="5AB2B460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ABCA8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2F62" w14:textId="2803427F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4821" w14:textId="4B4A07B2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3C4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C16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0CB18E8B" w14:textId="0FE121D4" w:rsidTr="008C78AB">
        <w:trPr>
          <w:trHeight w:val="4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D03E" w14:textId="3F21AAB2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Konde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n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sor ciemnego pola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86F5" w14:textId="78BC1148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Technika obserwacji: Ciemne pole do mikroskopu optycznego tr</w:t>
            </w:r>
            <w:r>
              <w:rPr>
                <w:rFonts w:eastAsia="Times New Roman" w:cs="Calibri"/>
                <w:color w:val="242424"/>
                <w:spacing w:val="0"/>
                <w:sz w:val="16"/>
                <w:szCs w:val="16"/>
                <w:lang w:eastAsia="pl-PL"/>
              </w:rPr>
              <w:t>ójokularowego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33D5" w14:textId="14BEAF2E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FDD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365" w14:textId="3CC44D8D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2927" w14:textId="264658E2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9B502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B82FA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38E59160" w14:textId="623C9D2A" w:rsidTr="008C78AB">
        <w:trPr>
          <w:trHeight w:val="4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2804" w14:textId="77777777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Zestaw do polaryzacji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9CC" w14:textId="77777777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zestaw do prostej polaryzacji do mikroskopu trójokularowego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57B9" w14:textId="32F06C7B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38F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E0EF" w14:textId="1701E2BB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4B6" w14:textId="3ECD4F4E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AA27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6471F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30D1DA06" w14:textId="50C35B8F" w:rsidTr="008C78AB">
        <w:trPr>
          <w:trHeight w:val="19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DFBF" w14:textId="77777777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Mikroskop optyczny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945A" w14:textId="5182C721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Mikroskop optyczny . 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Ź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ródło oświetlenia LED, Obiektywy 4x 10x 40x 100x, Reg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u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lacja ostrości mikro/makro, Oświetlenie przechodzące, Głowica </w:t>
            </w:r>
            <w:proofErr w:type="spellStart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trinokularowa</w:t>
            </w:r>
            <w:proofErr w:type="spellEnd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, rewolwer czteroobiektywowy, pokrętła współosiowe, dwustronne, możliwość rozbudowy ciemne pole, kontrast, polaryzacja, powiększenia mikroskopu 40x 100x 4000x 1000x, powiększenie okularu 10x, zasilanie mikroskopu AC, pole widzenia oku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larów 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 18mm, Podział światła w głowicy: 50:50 (okulary: tubus kamery) Minimalna gwarancja 24 miesiące.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2519" w14:textId="7AC6AC74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319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283" w14:textId="16B7F490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1934" w14:textId="7E60709F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FE31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AFB" w14:textId="77777777" w:rsidR="00933848" w:rsidRPr="007B5417" w:rsidRDefault="00933848" w:rsidP="002169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19FD6253" w14:textId="165B4DD1" w:rsidTr="008C78AB">
        <w:trPr>
          <w:trHeight w:val="14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F503" w14:textId="77777777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Mikroskop spektroskopowy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7650" w14:textId="543EC4EB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Mikroskop spektroskopowy, Oświetlenie LED, regulacja ostrości makro, oświetl</w:t>
            </w: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e</w:t>
            </w: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nie odbite przechodzące, głowice </w:t>
            </w:r>
            <w:proofErr w:type="spellStart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trinokularowa</w:t>
            </w:r>
            <w:proofErr w:type="spellEnd"/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, pokrętła regulacji dwustronne, powiększenia mikroskopu 10-45 x, powiększeni okularu 10x, pole widzenia okularów 20mm, moc oświetlenia 3w, zasilanie mikroskopu AC, Podział światła w głowicy:50:50 (okulary : tubus kamery), powiększenie głowicy 1-4,5. Minimalna gwarancja 24 miesiące.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CF93" w14:textId="32D2CE76" w:rsidR="00933848" w:rsidRPr="007B5417" w:rsidRDefault="00933848" w:rsidP="0021694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 w:rsidRPr="007B5417"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529" w14:textId="77777777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FE0" w14:textId="3D6E050F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258D" w14:textId="0B61791A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477" w14:textId="77777777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D81" w14:textId="77777777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933848" w:rsidRPr="007B5417" w14:paraId="3DD616B1" w14:textId="6B3E08A4" w:rsidTr="00933848">
        <w:trPr>
          <w:trHeight w:val="437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5BCC" w14:textId="211E1255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  <w:t>Razem wartość części 1: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9A6A" w14:textId="77777777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7B5" w14:textId="77777777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00F" w14:textId="77777777" w:rsidR="00933848" w:rsidRPr="007B5417" w:rsidRDefault="00933848" w:rsidP="002169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</w:tbl>
    <w:p w14:paraId="2E43B29E" w14:textId="77777777" w:rsidR="00C96AE6" w:rsidRPr="00933848" w:rsidRDefault="00C96AE6" w:rsidP="00C96AE6">
      <w:pPr>
        <w:rPr>
          <w:color w:val="auto"/>
        </w:rPr>
      </w:pPr>
      <w:r w:rsidRPr="00933848">
        <w:rPr>
          <w:color w:val="auto"/>
        </w:rPr>
        <w:t>Wszystkie dostarczone sprzęty musza być fabrycznie nowe wyprodukowane nie wcześniej niż 12 (dwanaście) miesięcy przed terminem dostawy.</w:t>
      </w:r>
    </w:p>
    <w:p w14:paraId="17231835" w14:textId="40779947" w:rsidR="001B070F" w:rsidRPr="008C78AB" w:rsidRDefault="00C96AE6" w:rsidP="007F164D">
      <w:pPr>
        <w:rPr>
          <w:b/>
          <w:bCs/>
          <w:color w:val="FF0000"/>
        </w:rPr>
      </w:pPr>
      <w:r w:rsidRPr="00C96AE6">
        <w:rPr>
          <w:b/>
          <w:bCs/>
          <w:color w:val="FF0000"/>
        </w:rPr>
        <w:t>Formularz cenowy winien zostać sporządzony, pod rygorem nieważności w formie elektronicznej lub w postaci elektronicznej opatrzonej podpisem zaufanym lub podpisem osobistym.</w:t>
      </w:r>
    </w:p>
    <w:sectPr w:rsidR="001B070F" w:rsidRPr="008C78AB" w:rsidSect="007B5417">
      <w:headerReference w:type="default" r:id="rId8"/>
      <w:footerReference w:type="default" r:id="rId9"/>
      <w:footerReference w:type="first" r:id="rId10"/>
      <w:pgSz w:w="16838" w:h="11906" w:orient="landscape" w:code="9"/>
      <w:pgMar w:top="2722" w:right="2325" w:bottom="1021" w:left="2155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55AF" w14:textId="77777777" w:rsidR="0094022E" w:rsidRDefault="0094022E" w:rsidP="006747BD">
      <w:pPr>
        <w:spacing w:after="0" w:line="240" w:lineRule="auto"/>
      </w:pPr>
      <w:r>
        <w:separator/>
      </w:r>
    </w:p>
  </w:endnote>
  <w:endnote w:type="continuationSeparator" w:id="0">
    <w:p w14:paraId="201BD175" w14:textId="77777777" w:rsidR="0094022E" w:rsidRDefault="0094022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77777777" w:rsidR="0044697B" w:rsidRDefault="0044697B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A55B08" w14:paraId="2831D2BA" w14:textId="77777777" w:rsidTr="005466A3">
              <w:tc>
                <w:tcPr>
                  <w:tcW w:w="2410" w:type="dxa"/>
                </w:tcPr>
                <w:p w14:paraId="54498FE5" w14:textId="3F3693C4" w:rsidR="00A55B08" w:rsidRDefault="005466A3" w:rsidP="00A55B08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2BCFADFB" wp14:editId="22D28BC2">
                        <wp:extent cx="1258215" cy="418943"/>
                        <wp:effectExtent l="0" t="0" r="0" b="63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25221950" w14:textId="48B9544C" w:rsidR="00A55B08" w:rsidRPr="009C15F5" w:rsidRDefault="00EB74DB" w:rsidP="00A55B08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>pn. „</w:t>
                  </w:r>
                  <w:r w:rsidR="00F530B3" w:rsidRPr="00F530B3">
                    <w:rPr>
                      <w:b w:val="0"/>
                      <w:bCs/>
                      <w:sz w:val="12"/>
                      <w:szCs w:val="12"/>
                    </w:rPr>
                    <w:t>Wejście do świata nauki. ŁUKASIEWICZ – PORT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” 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finansowany ze środków </w:t>
                  </w:r>
                  <w:r w:rsidR="00402D77">
                    <w:rPr>
                      <w:b w:val="0"/>
                      <w:bCs/>
                      <w:sz w:val="12"/>
                      <w:szCs w:val="12"/>
                    </w:rPr>
                    <w:t xml:space="preserve">Ministerstwa Edukacji i Nauki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na podstawie umowy nr </w:t>
                  </w:r>
                  <w:r w:rsidR="00402D77" w:rsidRPr="00402D77">
                    <w:rPr>
                      <w:b w:val="0"/>
                      <w:bCs/>
                      <w:sz w:val="12"/>
                      <w:szCs w:val="12"/>
                    </w:rPr>
                    <w:t>SONP/SP/514380/2021</w:t>
                  </w:r>
                  <w:r w:rsidR="00402D77">
                    <w:rPr>
                      <w:b w:val="0"/>
                      <w:bCs/>
                      <w:sz w:val="12"/>
                      <w:szCs w:val="12"/>
                    </w:rPr>
                    <w:t xml:space="preserve"> z dnia 29.12.2021 r.</w:t>
                  </w:r>
                </w:p>
              </w:tc>
            </w:tr>
          </w:tbl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9F44" w14:textId="77777777" w:rsidR="0094022E" w:rsidRDefault="0094022E" w:rsidP="006747BD">
      <w:pPr>
        <w:spacing w:after="0" w:line="240" w:lineRule="auto"/>
      </w:pPr>
      <w:r>
        <w:separator/>
      </w:r>
    </w:p>
  </w:footnote>
  <w:footnote w:type="continuationSeparator" w:id="0">
    <w:p w14:paraId="17182072" w14:textId="77777777" w:rsidR="0094022E" w:rsidRDefault="0094022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88289B"/>
    <w:multiLevelType w:val="hybridMultilevel"/>
    <w:tmpl w:val="F3CA490A"/>
    <w:lvl w:ilvl="0" w:tplc="5A3C12F2">
      <w:start w:val="1"/>
      <w:numFmt w:val="decimal"/>
      <w:lvlText w:val="%1)"/>
      <w:lvlJc w:val="left"/>
      <w:pPr>
        <w:ind w:left="1428" w:hanging="360"/>
      </w:pPr>
      <w:rPr>
        <w:rFonts w:asciiTheme="majorHAnsi" w:eastAsia="Calibri" w:hAnsiTheme="majorHAnsi" w:cs="Roboto Lt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667563243">
    <w:abstractNumId w:val="9"/>
  </w:num>
  <w:num w:numId="2" w16cid:durableId="659315155">
    <w:abstractNumId w:val="8"/>
  </w:num>
  <w:num w:numId="3" w16cid:durableId="1255092258">
    <w:abstractNumId w:val="3"/>
  </w:num>
  <w:num w:numId="4" w16cid:durableId="358971353">
    <w:abstractNumId w:val="2"/>
  </w:num>
  <w:num w:numId="5" w16cid:durableId="608120263">
    <w:abstractNumId w:val="1"/>
  </w:num>
  <w:num w:numId="6" w16cid:durableId="642005189">
    <w:abstractNumId w:val="0"/>
  </w:num>
  <w:num w:numId="7" w16cid:durableId="591091603">
    <w:abstractNumId w:val="7"/>
  </w:num>
  <w:num w:numId="8" w16cid:durableId="779028949">
    <w:abstractNumId w:val="6"/>
  </w:num>
  <w:num w:numId="9" w16cid:durableId="1637905752">
    <w:abstractNumId w:val="5"/>
  </w:num>
  <w:num w:numId="10" w16cid:durableId="1341469150">
    <w:abstractNumId w:val="4"/>
  </w:num>
  <w:num w:numId="11" w16cid:durableId="1685747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7376701">
    <w:abstractNumId w:val="15"/>
  </w:num>
  <w:num w:numId="13" w16cid:durableId="1225601131">
    <w:abstractNumId w:val="13"/>
  </w:num>
  <w:num w:numId="14" w16cid:durableId="792477992">
    <w:abstractNumId w:val="11"/>
  </w:num>
  <w:num w:numId="15" w16cid:durableId="1475488796">
    <w:abstractNumId w:val="14"/>
  </w:num>
  <w:num w:numId="16" w16cid:durableId="1714840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36EFA"/>
    <w:rsid w:val="00062EF8"/>
    <w:rsid w:val="00070438"/>
    <w:rsid w:val="00077647"/>
    <w:rsid w:val="000D2F0F"/>
    <w:rsid w:val="001132E6"/>
    <w:rsid w:val="00134929"/>
    <w:rsid w:val="001A0BD2"/>
    <w:rsid w:val="001B070F"/>
    <w:rsid w:val="0021694E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C611B"/>
    <w:rsid w:val="003F4BA3"/>
    <w:rsid w:val="00402D77"/>
    <w:rsid w:val="0044697B"/>
    <w:rsid w:val="004F5805"/>
    <w:rsid w:val="00526CDD"/>
    <w:rsid w:val="005466A3"/>
    <w:rsid w:val="005823F1"/>
    <w:rsid w:val="005D102F"/>
    <w:rsid w:val="005D1495"/>
    <w:rsid w:val="005E65BB"/>
    <w:rsid w:val="0062120D"/>
    <w:rsid w:val="00623116"/>
    <w:rsid w:val="006747BD"/>
    <w:rsid w:val="006919BD"/>
    <w:rsid w:val="006D6DE5"/>
    <w:rsid w:val="006E5990"/>
    <w:rsid w:val="006F645A"/>
    <w:rsid w:val="007060F5"/>
    <w:rsid w:val="007360FD"/>
    <w:rsid w:val="00764305"/>
    <w:rsid w:val="00791C1D"/>
    <w:rsid w:val="007B5417"/>
    <w:rsid w:val="007C416D"/>
    <w:rsid w:val="007F164D"/>
    <w:rsid w:val="007F433F"/>
    <w:rsid w:val="00805DF6"/>
    <w:rsid w:val="00821F16"/>
    <w:rsid w:val="008368C0"/>
    <w:rsid w:val="008438ED"/>
    <w:rsid w:val="0084396A"/>
    <w:rsid w:val="008442CF"/>
    <w:rsid w:val="00854B7B"/>
    <w:rsid w:val="0086521E"/>
    <w:rsid w:val="008C1729"/>
    <w:rsid w:val="008C75DD"/>
    <w:rsid w:val="008C78AB"/>
    <w:rsid w:val="008F027B"/>
    <w:rsid w:val="008F0B16"/>
    <w:rsid w:val="008F209D"/>
    <w:rsid w:val="0092749C"/>
    <w:rsid w:val="00933848"/>
    <w:rsid w:val="0094022E"/>
    <w:rsid w:val="0099379C"/>
    <w:rsid w:val="009D4C4D"/>
    <w:rsid w:val="00A34B19"/>
    <w:rsid w:val="00A36F46"/>
    <w:rsid w:val="00A4666C"/>
    <w:rsid w:val="00A52C29"/>
    <w:rsid w:val="00A55B08"/>
    <w:rsid w:val="00B61F8A"/>
    <w:rsid w:val="00B75265"/>
    <w:rsid w:val="00C27839"/>
    <w:rsid w:val="00C736D5"/>
    <w:rsid w:val="00C96AE6"/>
    <w:rsid w:val="00D005B3"/>
    <w:rsid w:val="00D06D36"/>
    <w:rsid w:val="00D40690"/>
    <w:rsid w:val="00DA52A1"/>
    <w:rsid w:val="00EB74DB"/>
    <w:rsid w:val="00ED7972"/>
    <w:rsid w:val="00EE493C"/>
    <w:rsid w:val="00F345EA"/>
    <w:rsid w:val="00F530B3"/>
    <w:rsid w:val="00FE0D09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readonlytext">
    <w:name w:val="readonly_text"/>
    <w:basedOn w:val="Domylnaczcionkaakapitu"/>
    <w:rsid w:val="007F164D"/>
  </w:style>
  <w:style w:type="character" w:styleId="Odwoaniedokomentarza">
    <w:name w:val="annotation reference"/>
    <w:basedOn w:val="Domylnaczcionkaakapitu"/>
    <w:uiPriority w:val="99"/>
    <w:semiHidden/>
    <w:unhideWhenUsed/>
    <w:rsid w:val="007B5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41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41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417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7B5417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2022-07-13T11:19:00Z</dcterms:created>
  <dcterms:modified xsi:type="dcterms:W3CDTF">2022-07-13T11:19:00Z</dcterms:modified>
</cp:coreProperties>
</file>