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pl-PL"/>
        </w:rPr>
        <w:t>ZPA.271.</w:t>
      </w:r>
      <w:r>
        <w:rPr>
          <w:rFonts w:eastAsia="Times New Roman" w:cs="Arial" w:ascii="Cambria" w:hAnsi="Cambria"/>
          <w:sz w:val="22"/>
          <w:szCs w:val="22"/>
          <w:lang w:eastAsia="pl-PL"/>
        </w:rPr>
        <w:t>7</w:t>
      </w:r>
      <w:r>
        <w:rPr>
          <w:rFonts w:eastAsia="Times New Roman" w:cs="Arial" w:ascii="Cambria" w:hAnsi="Cambria"/>
          <w:sz w:val="22"/>
          <w:szCs w:val="22"/>
          <w:lang w:eastAsia="pl-PL"/>
        </w:rPr>
        <w:t xml:space="preserve">.2022 </w:t>
        <w:tab/>
        <w:tab/>
        <w:tab/>
        <w:tab/>
        <w:tab/>
        <w:tab/>
        <w:t xml:space="preserve">                           Włodawa, dnia </w:t>
      </w:r>
      <w:r>
        <w:rPr>
          <w:rFonts w:eastAsia="Times New Roman" w:cs="Arial" w:ascii="Cambria" w:hAnsi="Cambria"/>
          <w:color w:val="auto"/>
          <w:kern w:val="2"/>
          <w:sz w:val="22"/>
          <w:szCs w:val="22"/>
          <w:lang w:val="pl-PL" w:eastAsia="pl-PL" w:bidi="hi-IN"/>
        </w:rPr>
        <w:t>27</w:t>
      </w:r>
      <w:r>
        <w:rPr>
          <w:rFonts w:eastAsia="Times New Roman" w:cs="Arial" w:ascii="Cambria" w:hAnsi="Cambria"/>
          <w:color w:val="auto"/>
          <w:kern w:val="2"/>
          <w:sz w:val="22"/>
          <w:szCs w:val="22"/>
          <w:lang w:val="pl-PL" w:eastAsia="pl-PL" w:bidi="hi-IN"/>
        </w:rPr>
        <w:t>.04.2022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Cambria" w:hAnsi="Cambri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 w:ascii="Cambria" w:hAnsi="Cambria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   </w:t>
      </w: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32"/>
          <w:szCs w:val="32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Cambria" w:hAnsi="Cambria"/>
          <w:b/>
          <w:bCs/>
          <w:sz w:val="32"/>
          <w:szCs w:val="3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Cambria" w:hAnsi="Cambria"/>
          <w:b/>
          <w:bCs/>
          <w:sz w:val="32"/>
          <w:szCs w:val="3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Cambria" w:hAnsi="Cambria"/>
          <w:b/>
          <w:bCs/>
          <w:sz w:val="32"/>
          <w:szCs w:val="3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Cambria" w:hAnsi="Cambri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2"/>
          <w:szCs w:val="22"/>
        </w:rPr>
        <w:t>Dotyczy postępowania pn.:</w:t>
      </w:r>
      <w:r>
        <w:rPr>
          <w:rFonts w:eastAsia="Calibri" w:cs="Arial" w:ascii="Cambria" w:hAnsi="Cambria"/>
          <w:sz w:val="22"/>
          <w:szCs w:val="22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„Termomodernizacja Szkoły Podstawowej nr 3 we Włodawie”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Zamawiający informuje, że w terminie określonym zgodnie z art. 284 ust. 2 ustawy z 11 września 2019 r. – Prawo zamówień publicznych (Dz.U.  z 2021 poz. 1129 ze zm.) – dalej: ustawa Pzp, wykonawca w dniu </w:t>
      </w:r>
      <w:r>
        <w:rPr>
          <w:rFonts w:eastAsia="Calibri" w:cs="Arial" w:ascii="Cambria" w:hAnsi="Cambria"/>
          <w:sz w:val="24"/>
          <w:szCs w:val="24"/>
        </w:rPr>
        <w:t>27</w:t>
      </w:r>
      <w:r>
        <w:rPr>
          <w:rFonts w:eastAsia="Calibri" w:cs="Arial" w:ascii="Cambria" w:hAnsi="Cambria"/>
          <w:sz w:val="24"/>
          <w:szCs w:val="24"/>
        </w:rPr>
        <w:t>.04.2022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Pytanie: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/>
      </w:r>
      <w:r>
        <mc:AlternateContent>
          <mc:Choice Requires="wps">
            <w:drawing>
              <wp:anchor behindDoc="0" distT="95250" distB="0" distL="0" distR="0" simplePos="0" locked="0" layoutInCell="0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838950" cy="376555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65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bidi w:val="0"/>
                              <w:spacing w:lineRule="auto" w:line="276" w:before="0" w:after="140"/>
                              <w:jc w:val="left"/>
                              <w:rPr/>
                            </w:pPr>
                            <w:r>
                              <w:rPr/>
                              <w:t>W przedmiarze robót poz.60 d.4 - obróbki przy szerokości w rozwinięciu ponad 25cm - jest podana ilość "0". Czy jet to pozycja do wyceny i jaka jest ilość w tej pozycji do wyceny.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8.5pt;height:29.65pt;mso-wrap-distance-left:0pt;mso-wrap-distance-right:0pt;mso-wrap-distance-top:7.5pt;mso-wrap-distance-bottom:0pt;margin-top:7.5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bidi w:val="0"/>
                        <w:spacing w:lineRule="auto" w:line="276" w:before="0" w:after="140"/>
                        <w:jc w:val="left"/>
                        <w:rPr/>
                      </w:pPr>
                      <w:r>
                        <w:rPr/>
                        <w:t>W przedmiarze robót poz.60 d.4 - obróbki przy szerokości w rozwinięciu ponad 25cm - jest podana ilość "0". Czy jet to pozycja do wyceny i jaka jest ilość w tej pozycji do wyceny.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/>
          <w:b/>
          <w:bCs/>
        </w:rPr>
        <w:t>Odpowiedź:</w:t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/>
          <w:b w:val="false"/>
          <w:bCs w:val="false"/>
        </w:rPr>
        <w:t>Zgodnie z pkt 4.3. SWZ z uwagi na to, że wynagrodzenie wykonawcy wskazane w ofercie będzie miało charakter ryczałtowy, wykonawcy przy wycenie oferty powinni opierać się na zakresie w dokumentacji projektowej, dokumentacji technicznej i wszystkich pozostałych dokumentach stanowiących SWZ. Przedmiar ma jedynie charakter pomocniczy. Zgodnie z dokumentacją techniczną przewidziano wykonanie obróbek przy szerokości w rozwinięciu ponad 25 cm - z blachy stalowej powlekanej o powierzchni 585m</w:t>
      </w:r>
      <w:r>
        <w:rPr>
          <w:rFonts w:eastAsia="Calibri" w:cs="Arial"/>
          <w:b w:val="false"/>
          <w:bCs w:val="false"/>
          <w:position w:val="8"/>
          <w:sz w:val="19"/>
        </w:rPr>
        <w:t>2</w:t>
      </w:r>
      <w:r>
        <w:rPr>
          <w:rFonts w:eastAsia="Calibri" w:cs="Arial"/>
          <w:b w:val="false"/>
          <w:bCs w:val="false"/>
        </w:rPr>
        <w:t xml:space="preserve">. </w:t>
      </w:r>
      <w:r>
        <w:rPr>
          <w:rFonts w:eastAsia="Calibri" w:cs="Arial"/>
          <w:b w:val="false"/>
          <w:bCs w:val="false"/>
        </w:rPr>
        <w:br/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361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auto" w:line="276" w:before="0" w:after="0"/>
      <w:jc w:val="right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  <w:r>
      <w:rPr/>
      <w:drawing>
        <wp:inline distT="0" distB="0" distL="0" distR="0">
          <wp:extent cx="1413510" cy="791845"/>
          <wp:effectExtent l="0" t="0" r="0" b="0"/>
          <wp:docPr id="2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3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bidi w:val="0"/>
      <w:spacing w:lineRule="auto" w:line="276" w:before="0" w:after="0"/>
      <w:jc w:val="both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both"/>
      <w:rPr/>
    </w:pP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LibreOffice/7.0.0.3$Windows_X86_64 LibreOffice_project/8061b3e9204bef6b321a21033174034a5e2ea88e</Application>
  <Pages>1</Pages>
  <Words>209</Words>
  <Characters>1280</Characters>
  <CharactersWithSpaces>1510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2022-04-27T10:43:17Z</dcterms:created>
  <dc:creator/>
  <dc:description/>
  <dc:language>pl-PL</dc:language>
  <cp:lastModifiedBy/>
  <dcterms:modified xsi:type="dcterms:W3CDTF">2022-04-27T11:10:18Z</dcterms:modified>
  <cp:revision>3</cp:revision>
  <dc:subject/>
  <dc:title/>
</cp:coreProperties>
</file>