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B" w:rsidRPr="00855F1B" w:rsidRDefault="0016711B" w:rsidP="0016711B">
      <w:pPr>
        <w:pStyle w:val="Nagwek2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16711B" w:rsidRPr="00855F1B" w:rsidRDefault="0016711B" w:rsidP="0016711B"/>
    <w:p w:rsidR="0016711B" w:rsidRPr="00855F1B" w:rsidRDefault="00A7006A" w:rsidP="0016711B">
      <w:pPr>
        <w:pStyle w:val="Nagwek2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OPZ -</w:t>
      </w:r>
      <w:r w:rsidR="0016711B" w:rsidRPr="00855F1B">
        <w:rPr>
          <w:rFonts w:ascii="Arial" w:hAnsi="Arial" w:cs="Arial"/>
          <w:sz w:val="22"/>
          <w:szCs w:val="22"/>
        </w:rPr>
        <w:t>SPECYFIKACJA TECHNICZNA</w:t>
      </w:r>
    </w:p>
    <w:p w:rsidR="0016711B" w:rsidRPr="00855F1B" w:rsidRDefault="00B7246E" w:rsidP="0016711B">
      <w:pPr>
        <w:pStyle w:val="Nagwek2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Dostawa, montaż i uruchomienie lampy operacyjnej na bloku operacyjnym</w:t>
      </w:r>
      <w:r w:rsidR="009F50B0">
        <w:rPr>
          <w:rFonts w:ascii="Arial" w:hAnsi="Arial" w:cs="Arial"/>
          <w:sz w:val="22"/>
          <w:szCs w:val="22"/>
        </w:rPr>
        <w:t xml:space="preserve"> – sala ginekologiczna</w:t>
      </w:r>
    </w:p>
    <w:p w:rsidR="00497ACE" w:rsidRDefault="00497ACE" w:rsidP="00497ACE">
      <w:pPr>
        <w:pStyle w:val="Stopka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220"/>
        <w:gridCol w:w="1800"/>
        <w:gridCol w:w="2619"/>
      </w:tblGrid>
      <w:tr w:rsidR="00497ACE" w:rsidRPr="0016711B" w:rsidTr="00E60580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pStyle w:val="Tekstpodstawowy"/>
              <w:snapToGri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6711B">
              <w:rPr>
                <w:rFonts w:ascii="Arial" w:hAnsi="Arial" w:cs="Arial"/>
                <w:b w:val="0"/>
                <w:sz w:val="22"/>
                <w:szCs w:val="22"/>
              </w:rPr>
              <w:t xml:space="preserve">Dwukopułowa lampa </w:t>
            </w:r>
            <w:r w:rsidRPr="0016711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operacyjna bezcieniowa mocowana do sufitu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pStyle w:val="Tekstpodstawowy"/>
              <w:snapToGri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6711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Dwa ramiona obrotowe zamocowane do pojedynczego zawiesia sufitowego. Obrót każdego z ramion w zakresie 360°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Obudowy kopuł w kształcie koła w celu minimalizacji zakłóceń przepływu laminarnego.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Średnica kopuły głównej i satelitarnej 60 cm (+/- 3cm).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Obudowa wykonana z metali lekkich, zapewniających niska wagę czaszy lampy.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z w:val="22"/>
                <w:szCs w:val="22"/>
              </w:rPr>
              <w:t>Każda z kopuł</w:t>
            </w: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wyposażona w uchwyt sterylny oraz w min. 3 uchwyty niesterylne pokrywające min. 75 % obwodu czaszy lampy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pStyle w:val="Tekstpodstawowy"/>
              <w:snapToGri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6711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Czasze lampy wyposażone w matryce świetlne ze źródłem światła w postaci diod LED. </w:t>
            </w:r>
            <w:r w:rsidRPr="0016711B">
              <w:rPr>
                <w:rFonts w:ascii="Arial" w:hAnsi="Arial" w:cs="Arial"/>
                <w:b w:val="0"/>
                <w:sz w:val="22"/>
                <w:szCs w:val="22"/>
              </w:rPr>
              <w:t>Moduły świetlne osłonięte szybą ze szkła bezpiecznego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Źródło światła białe diody LED </w:t>
            </w:r>
          </w:p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Nie dopuszcza się do zaoferowania lamp opartych na diodach o różnej barwie.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Zastosowane diody klasy medycznej.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Kopuła główna i satelitarna wyposażone są w min 140 diod LED każda.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Diody skupione w specjalnych soczewkach, rozwiązanie zapewnia m.in. równomierny rozkład światła na polu operacyjnym.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Każda z soczewek wyposażone w co najmniej 2 diody zapewniające homogeniczne, bezcieniowe światło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Soczewki z diodami LED w dwóch wielkościach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Przyrost temperatury ponad głową chirurga &lt; 0,5ºC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Kopuła główna:</w:t>
            </w: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główna wyposażona w 6 modułów świetlnych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Natężenia oświetlenia w odległości 1m: min. 160 000 luksów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Temperatura barwowa regulowana elektronicznie w zakresie: 3000 – 5500K.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Regulacja temperatury barwowej w następujących krokach: 3000 –3500 – 4000 – 4500 – 5000 – 5500K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Wybór temperatury barwowej poprzez jednokrotne wciśnięcie przycisku na panelu sterowania, sześć przycisków, każdy odpowiada konkretnej temperaturze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Średnica pola roboczego d10-d50: min. 18cm – 32 cm, regulowana elektronicznie.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Natężenie światła regulowane w zakresie  min. 25÷100%, elektronicznie.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Regulacja temperatury barwowej, natężenia światła i średnicy pola za pomocą panelu sterowania dotykowe umieszczonego przy kopule.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Panel sterujący wyposażony w funkcję synchronizacji temperatury barwowej na kilku kopułach jednocześnie.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Współczynnik odwzorowania barw (Ra): min. 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Wgłębność oświetlenia: min. 120 cm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główna wyposażona w trzy uchwyty niesterylizowane zintegrowane z kopułą lampy, wykonane w ten sposób, że pozwala na wsunięcie całej dłoni i jej zaciśnięcie, co umożliwia pewny chwyt podczas przemieszczania lampy oraz łatwe i szybkie ustawienie kopuły niezależnie od jej położenia.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zamocowana na podwójnym ramieniu o zasięgu: min. 198 cm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ramienia stałego o 360° wokół mocowania głównego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ramienia uchylnego wokół przegubu łączącego ramiona o 360°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497ACE" w:rsidRPr="0016711B" w:rsidRDefault="00497ACE" w:rsidP="00E60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o 360° na przegubie łączącym kopułę z ramieniem uchylnym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</w:tcBorders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Wyłącznik lampy umieszczony panelu sterującym zlokalizowanym przy kopule.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Tryb endo – tryb oświetlenia dla potrzeb chirurgii małoinwazyjnej (funkcja oświetlenia endoskopowego - kolor zielony). Funkcja uruchamiana niezależnie z panelu sterującego umieszczonego na kopule. Oświetlenie umiejscowione wewnątrz kopuły (wokół uchwytu)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Żywotność układu świetlnego &gt; 60 000 godzin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:rsidR="00497ACE" w:rsidRPr="0016711B" w:rsidRDefault="00497ACE" w:rsidP="00E60580">
            <w:pPr>
              <w:spacing w:before="120" w:after="12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bCs/>
                <w:sz w:val="22"/>
                <w:szCs w:val="22"/>
              </w:rPr>
              <w:t>Kopuła satelitarna:</w:t>
            </w: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satelitarna wyposażona w 6 modułów świetlnych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Natężenia oświetlenia w odległości 1m: min. 160 000 luksów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Temperatura barwowa regulowana elektronicznie w zakresie: 3000 – 5500K.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Regulacja temperatury barwowej w następujących krokach: 3000 –3500 – 4000 – 4500 – 5000 – 5500K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Wybór temperatury barwowej poprzez jednokrotne wciśnięcie przycisku na panelu sterowania, sześć przycisków, każdy odpowiada konkretnej temperaturze 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Średnica pola roboczego d10-d50 min. 18cm – 32 cm regulowana elektronicznie.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Natężenie światła regulowane w zakresie  min. 25÷100%, elektronicznie.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Regulacja temperatury barwowej, natężenia światła i średnicy pola za pomocą panelu sterowania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Panel sterujący wyposażony w funkcję synchronizacji temperatury barwowej na kilku kopułach jednocześnie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Współczynnik odwzorowania barw (Ra): min. 97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Wgłębność oświetlenia: min. 120 cm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satelitarna wyposażona w trzy uchwyty niesterylizowane zintegrowane z kopułą lampy, wykonane w ten sposób, że pozwala na wsunięcie całej dłoni i jej zaciśnięcie, co umożliwia pewny chwyt podczas przemieszczania lampy oraz łatwe i szybkie ustawienie kopuły niezależnie od jej położenia.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ramienia stałego o 360° wokół mocowania głównego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ramienia uchylnego wokół przegubu łączącego ramiona o 360°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o 360° na przegubie łączącym kopułę z ramieniem uchylnym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Wyłącznik lampy umieszczony panelu sterującym zlokalizowanym przy kopule.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Tryb endo – tryb oświetlenia dla potrzeb chirurgii małoinwazyjnej (funkcja oświetlenia endoskopowego - kolor zielony). Funkcja uruchamiana niezależnie z panelu sterującego umieszczonego na kopule. Oświetlenie umiejscowione wewnątrz kopuły (wokół uchwytu)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Żywotność układu świetlnego &gt; 60 000 godzin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Deklaracja Zgodności, Wpis lub Zgłoszenie do Urzędu Rejestracji Wyrobów Medycznych.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611" w:rsidRPr="0016711B" w:rsidTr="006A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3A5611" w:rsidRPr="0016711B" w:rsidRDefault="003A5611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:rsidR="003A5611" w:rsidRPr="0016711B" w:rsidRDefault="003A5611" w:rsidP="003A5611">
            <w:pPr>
              <w:spacing w:before="120" w:after="12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Dodatkowe wymagania</w:t>
            </w:r>
            <w:r w:rsidRPr="0016711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6711B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16711B" w:rsidRPr="0016711B" w:rsidRDefault="0016711B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16711B" w:rsidRPr="0016711B" w:rsidRDefault="0016711B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Montaż i uruchomienie</w:t>
            </w:r>
            <w:r w:rsidR="009F50B0">
              <w:rPr>
                <w:rFonts w:ascii="Arial" w:hAnsi="Arial" w:cs="Arial"/>
                <w:sz w:val="22"/>
                <w:szCs w:val="22"/>
              </w:rPr>
              <w:t xml:space="preserve"> do 15.01.2024</w:t>
            </w:r>
            <w:r w:rsidR="00D9493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</w:tcPr>
          <w:p w:rsidR="0016711B" w:rsidRPr="0016711B" w:rsidRDefault="0016711B" w:rsidP="00167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16711B" w:rsidRPr="0016711B" w:rsidRDefault="0016711B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D4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242D4E" w:rsidRPr="0016711B" w:rsidRDefault="00242D4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242D4E" w:rsidRPr="0016711B" w:rsidRDefault="00242D4E" w:rsidP="00A526A7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min 36</w:t>
            </w:r>
            <w:r w:rsidR="008B6763">
              <w:rPr>
                <w:rFonts w:ascii="Arial" w:hAnsi="Arial" w:cs="Arial"/>
                <w:sz w:val="22"/>
                <w:szCs w:val="22"/>
              </w:rPr>
              <w:t xml:space="preserve"> miesię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  <w:r w:rsidRPr="0016711B">
              <w:rPr>
                <w:rFonts w:ascii="Arial" w:hAnsi="Arial" w:cs="Arial"/>
                <w:sz w:val="22"/>
                <w:szCs w:val="22"/>
              </w:rPr>
              <w:t xml:space="preserve">  obejmująca bezpłatne  przeglądy w okresie gwarancyjnym</w:t>
            </w:r>
          </w:p>
        </w:tc>
        <w:tc>
          <w:tcPr>
            <w:tcW w:w="1800" w:type="dxa"/>
          </w:tcPr>
          <w:p w:rsidR="00242D4E" w:rsidRPr="0016711B" w:rsidRDefault="00242D4E" w:rsidP="00A52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TAK, podać jedną z wartości:</w:t>
            </w:r>
          </w:p>
          <w:p w:rsidR="00242D4E" w:rsidRPr="0016711B" w:rsidRDefault="00242D4E" w:rsidP="00A52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2D4E" w:rsidRPr="0016711B" w:rsidRDefault="00242D4E" w:rsidP="00A52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-36 miesięcy</w:t>
            </w:r>
          </w:p>
          <w:p w:rsidR="00242D4E" w:rsidRPr="0016711B" w:rsidRDefault="00242D4E" w:rsidP="00A52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-48 miesięcy</w:t>
            </w:r>
          </w:p>
          <w:p w:rsidR="00242D4E" w:rsidRPr="0016711B" w:rsidRDefault="00242D4E" w:rsidP="00A526A7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242D4E" w:rsidRPr="0016711B" w:rsidRDefault="00242D4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D4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242D4E" w:rsidRPr="0016711B" w:rsidRDefault="00242D4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242D4E" w:rsidRDefault="00242D4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Płatność w trzech ratach miesięcznych</w:t>
            </w:r>
          </w:p>
          <w:p w:rsidR="00242D4E" w:rsidRDefault="00242D4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242D4E" w:rsidRDefault="00242D4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rata 40% wartości zamówienia</w:t>
            </w:r>
          </w:p>
          <w:p w:rsidR="00242D4E" w:rsidRDefault="00242D4E" w:rsidP="003A5611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rata 30 % wartości zamówienia</w:t>
            </w:r>
          </w:p>
          <w:p w:rsidR="00242D4E" w:rsidRDefault="00242D4E" w:rsidP="003A5611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rata 30 % wartości zamówienia</w:t>
            </w:r>
          </w:p>
        </w:tc>
        <w:tc>
          <w:tcPr>
            <w:tcW w:w="1800" w:type="dxa"/>
          </w:tcPr>
          <w:p w:rsidR="00242D4E" w:rsidRDefault="00242D4E" w:rsidP="00167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242D4E" w:rsidRPr="0016711B" w:rsidRDefault="00242D4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711B" w:rsidRPr="009B200C" w:rsidRDefault="0016711B" w:rsidP="0016711B">
      <w:pPr>
        <w:jc w:val="both"/>
        <w:rPr>
          <w:rFonts w:ascii="Arial" w:hAnsi="Arial" w:cs="Arial"/>
          <w:sz w:val="18"/>
          <w:szCs w:val="18"/>
        </w:rPr>
      </w:pPr>
      <w:r w:rsidRPr="005F470D">
        <w:rPr>
          <w:rFonts w:ascii="Arial" w:hAnsi="Arial" w:cs="Arial"/>
          <w:sz w:val="18"/>
          <w:szCs w:val="18"/>
        </w:rPr>
        <w:t>* - kolumnę 4 należy wypełnić wg wskazówek zawartych w kolumnie 3, wpisując potwierdzenie spełnienia warunku, oferowane parametry lub wymagany opis.</w:t>
      </w:r>
      <w:r w:rsidRPr="006B012B">
        <w:rPr>
          <w:rFonts w:ascii="Arial" w:hAnsi="Arial" w:cs="Arial"/>
          <w:sz w:val="18"/>
          <w:szCs w:val="18"/>
        </w:rPr>
        <w:t xml:space="preserve"> </w:t>
      </w: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Pr="00031E17" w:rsidRDefault="0016711B" w:rsidP="0016711B">
      <w:pPr>
        <w:ind w:left="5040"/>
        <w:jc w:val="center"/>
        <w:rPr>
          <w:rFonts w:ascii="Arial Narrow" w:hAnsi="Arial Narrow"/>
        </w:rPr>
      </w:pPr>
      <w:r w:rsidRPr="00031E17">
        <w:rPr>
          <w:rFonts w:ascii="Arial Narrow" w:hAnsi="Arial Narrow"/>
        </w:rPr>
        <w:t>……….............................................................</w:t>
      </w:r>
    </w:p>
    <w:p w:rsidR="0016711B" w:rsidRPr="00031E17" w:rsidRDefault="0016711B" w:rsidP="0016711B">
      <w:pPr>
        <w:ind w:left="5040"/>
        <w:jc w:val="center"/>
        <w:rPr>
          <w:rFonts w:ascii="Arial Narrow" w:hAnsi="Arial Narrow"/>
          <w:sz w:val="18"/>
          <w:szCs w:val="18"/>
        </w:rPr>
      </w:pPr>
      <w:r w:rsidRPr="00031E17">
        <w:rPr>
          <w:rFonts w:ascii="Arial Narrow" w:hAnsi="Arial Narrow"/>
          <w:sz w:val="18"/>
          <w:szCs w:val="18"/>
        </w:rPr>
        <w:t>(podpisy i pieczęcie osób upoważnionych</w:t>
      </w:r>
    </w:p>
    <w:p w:rsidR="0016711B" w:rsidRPr="00031E17" w:rsidRDefault="0016711B" w:rsidP="0016711B">
      <w:pPr>
        <w:ind w:left="5040"/>
        <w:jc w:val="center"/>
        <w:rPr>
          <w:rFonts w:ascii="Arial Narrow" w:hAnsi="Arial Narrow"/>
        </w:rPr>
      </w:pPr>
      <w:r w:rsidRPr="00031E17">
        <w:rPr>
          <w:rFonts w:ascii="Arial Narrow" w:hAnsi="Arial Narrow"/>
          <w:sz w:val="18"/>
          <w:szCs w:val="18"/>
        </w:rPr>
        <w:t>do reprezentowania wykonawcy)</w:t>
      </w:r>
    </w:p>
    <w:p w:rsidR="00497ACE" w:rsidRPr="0016711B" w:rsidRDefault="00497ACE" w:rsidP="00497ACE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497ACE" w:rsidRPr="0016711B" w:rsidRDefault="00497ACE" w:rsidP="00497ACE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5B25D8" w:rsidRPr="0016711B" w:rsidRDefault="005B25D8">
      <w:pPr>
        <w:rPr>
          <w:rFonts w:ascii="Arial" w:hAnsi="Arial" w:cs="Arial"/>
        </w:rPr>
      </w:pPr>
    </w:p>
    <w:sectPr w:rsidR="005B25D8" w:rsidRPr="0016711B" w:rsidSect="006734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39" w:rsidRDefault="00757C39" w:rsidP="00194525">
      <w:r>
        <w:separator/>
      </w:r>
    </w:p>
  </w:endnote>
  <w:endnote w:type="continuationSeparator" w:id="1">
    <w:p w:rsidR="00757C39" w:rsidRDefault="00757C39" w:rsidP="0019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33407"/>
      <w:docPartObj>
        <w:docPartGallery w:val="Page Numbers (Bottom of Page)"/>
        <w:docPartUnique/>
      </w:docPartObj>
    </w:sdtPr>
    <w:sdtContent>
      <w:p w:rsidR="00194525" w:rsidRDefault="002304A3">
        <w:pPr>
          <w:pStyle w:val="Stopka"/>
          <w:jc w:val="right"/>
        </w:pPr>
        <w:fldSimple w:instr=" PAGE   \* MERGEFORMAT ">
          <w:r w:rsidR="009F50B0">
            <w:rPr>
              <w:noProof/>
            </w:rPr>
            <w:t>1</w:t>
          </w:r>
        </w:fldSimple>
      </w:p>
    </w:sdtContent>
  </w:sdt>
  <w:p w:rsidR="00194525" w:rsidRDefault="00194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39" w:rsidRDefault="00757C39" w:rsidP="00194525">
      <w:r>
        <w:separator/>
      </w:r>
    </w:p>
  </w:footnote>
  <w:footnote w:type="continuationSeparator" w:id="1">
    <w:p w:rsidR="00757C39" w:rsidRDefault="00757C39" w:rsidP="00194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CE"/>
    <w:rsid w:val="0013313B"/>
    <w:rsid w:val="0016711B"/>
    <w:rsid w:val="00180763"/>
    <w:rsid w:val="00194525"/>
    <w:rsid w:val="002304A3"/>
    <w:rsid w:val="00242D4E"/>
    <w:rsid w:val="003A2829"/>
    <w:rsid w:val="003A5611"/>
    <w:rsid w:val="00497ACE"/>
    <w:rsid w:val="00570BEE"/>
    <w:rsid w:val="005B25D8"/>
    <w:rsid w:val="0067349F"/>
    <w:rsid w:val="00757C39"/>
    <w:rsid w:val="008756DF"/>
    <w:rsid w:val="008B6763"/>
    <w:rsid w:val="008C6882"/>
    <w:rsid w:val="009B7A8A"/>
    <w:rsid w:val="009C325F"/>
    <w:rsid w:val="009F50B0"/>
    <w:rsid w:val="00A02012"/>
    <w:rsid w:val="00A7006A"/>
    <w:rsid w:val="00B7246E"/>
    <w:rsid w:val="00D94939"/>
    <w:rsid w:val="00DC220D"/>
    <w:rsid w:val="00E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711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7ACE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97A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7ACE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7A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97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97ACE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671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5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EE85-8CE5-4194-BB07-5EE717B0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867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13</cp:revision>
  <cp:lastPrinted>2023-11-22T08:46:00Z</cp:lastPrinted>
  <dcterms:created xsi:type="dcterms:W3CDTF">2023-10-31T11:57:00Z</dcterms:created>
  <dcterms:modified xsi:type="dcterms:W3CDTF">2023-11-22T09:18:00Z</dcterms:modified>
</cp:coreProperties>
</file>