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9792A" w:rsidRDefault="00E9792A" w:rsidP="00E9792A">
      <w:r>
        <w:tab/>
      </w:r>
    </w:p>
    <w:p w:rsidR="00E9792A" w:rsidRPr="00E9792A" w:rsidRDefault="00E9792A" w:rsidP="00E9792A">
      <w:pPr>
        <w:pStyle w:val="Nagwek2"/>
        <w:jc w:val="center"/>
        <w:rPr>
          <w:rFonts w:ascii="Arial" w:hAnsi="Arial" w:cs="Arial"/>
          <w:b/>
          <w:bCs/>
          <w:color w:val="000000" w:themeColor="text1"/>
        </w:rPr>
      </w:pPr>
      <w:r w:rsidRPr="00E9792A">
        <w:rPr>
          <w:rFonts w:ascii="Arial" w:hAnsi="Arial" w:cs="Arial"/>
          <w:b/>
          <w:bCs/>
          <w:color w:val="000000" w:themeColor="text1"/>
        </w:rPr>
        <w:t>ISTOTNE POSTANOWIENIA UMOWY</w:t>
      </w:r>
    </w:p>
    <w:p w:rsidR="00E9792A" w:rsidRDefault="00E9792A" w:rsidP="00E9792A">
      <w:pPr>
        <w:jc w:val="center"/>
        <w:rPr>
          <w:rFonts w:ascii="Arial" w:hAnsi="Arial" w:cs="Arial"/>
          <w:sz w:val="22"/>
          <w:szCs w:val="22"/>
        </w:rPr>
      </w:pPr>
    </w:p>
    <w:p w:rsidR="00E9792A" w:rsidRPr="00E9792A" w:rsidRDefault="00E9792A" w:rsidP="00E9792A">
      <w:pPr>
        <w:jc w:val="center"/>
        <w:rPr>
          <w:rFonts w:ascii="Arial" w:hAnsi="Arial" w:cs="Arial"/>
          <w:sz w:val="22"/>
          <w:szCs w:val="22"/>
        </w:rPr>
      </w:pPr>
      <w:r w:rsidRPr="00E9792A">
        <w:rPr>
          <w:rFonts w:ascii="Arial" w:hAnsi="Arial" w:cs="Arial"/>
          <w:sz w:val="22"/>
          <w:szCs w:val="22"/>
        </w:rPr>
        <w:t>ROZDZIAŁ 1</w:t>
      </w:r>
    </w:p>
    <w:p w:rsidR="00E9792A" w:rsidRPr="00E9792A" w:rsidRDefault="00E9792A" w:rsidP="00E9792A">
      <w:pPr>
        <w:jc w:val="center"/>
        <w:rPr>
          <w:rFonts w:ascii="Arial" w:hAnsi="Arial" w:cs="Arial"/>
          <w:sz w:val="22"/>
          <w:szCs w:val="22"/>
        </w:rPr>
      </w:pPr>
    </w:p>
    <w:p w:rsidR="00E9792A" w:rsidRDefault="00E9792A" w:rsidP="00E9792A">
      <w:pPr>
        <w:jc w:val="center"/>
        <w:rPr>
          <w:rFonts w:ascii="Arial" w:hAnsi="Arial" w:cs="Arial"/>
          <w:sz w:val="22"/>
          <w:szCs w:val="22"/>
        </w:rPr>
      </w:pPr>
      <w:r w:rsidRPr="00E9792A">
        <w:rPr>
          <w:rFonts w:ascii="Arial" w:hAnsi="Arial" w:cs="Arial"/>
          <w:sz w:val="22"/>
          <w:szCs w:val="22"/>
        </w:rPr>
        <w:t>POSTANOWIENIA OGÓLNE</w:t>
      </w:r>
    </w:p>
    <w:p w:rsidR="00E9792A" w:rsidRPr="00E9792A" w:rsidRDefault="00E9792A" w:rsidP="00E9792A">
      <w:pPr>
        <w:jc w:val="center"/>
        <w:rPr>
          <w:rFonts w:ascii="Arial" w:hAnsi="Arial" w:cs="Arial"/>
          <w:sz w:val="22"/>
          <w:szCs w:val="22"/>
        </w:rPr>
      </w:pP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t>§ 1</w:t>
      </w:r>
    </w:p>
    <w:p w:rsidR="00E9792A" w:rsidRDefault="00E9792A" w:rsidP="00E9792A">
      <w:pPr>
        <w:pStyle w:val="Akapitzlist"/>
        <w:numPr>
          <w:ilvl w:val="0"/>
          <w:numId w:val="1"/>
        </w:numPr>
        <w:ind w:left="284" w:hanging="284"/>
        <w:jc w:val="both"/>
        <w:rPr>
          <w:rFonts w:ascii="Arial" w:hAnsi="Arial" w:cs="Arial"/>
          <w:sz w:val="22"/>
          <w:szCs w:val="22"/>
        </w:rPr>
      </w:pPr>
      <w:r w:rsidRPr="00E9792A">
        <w:rPr>
          <w:rFonts w:ascii="Arial" w:hAnsi="Arial" w:cs="Arial"/>
          <w:sz w:val="22"/>
          <w:szCs w:val="22"/>
        </w:rPr>
        <w:t>Niniejsza umowa zostaje zawarta po przeprowadzeniu postępowania o udzielenie zamówienia publicznego, prowadzonego w trybie przetargu nieograniczonego na podstawie Ustawy z dnia 11 września 2019 r. - Prawo zamówień publicznych Zakres świadczenia Wykonawcy wynikający z niniejszej umowy jest tożsamy z jego zobowiązaniem zawartym w</w:t>
      </w:r>
      <w:r w:rsidR="00FB667C">
        <w:rPr>
          <w:rFonts w:ascii="Arial" w:hAnsi="Arial" w:cs="Arial"/>
          <w:sz w:val="22"/>
          <w:szCs w:val="22"/>
        </w:rPr>
        <w:t> </w:t>
      </w:r>
      <w:r w:rsidRPr="00E9792A">
        <w:rPr>
          <w:rFonts w:ascii="Arial" w:hAnsi="Arial" w:cs="Arial"/>
          <w:sz w:val="22"/>
          <w:szCs w:val="22"/>
        </w:rPr>
        <w:t>ofercie.</w:t>
      </w:r>
    </w:p>
    <w:p w:rsidR="00E9792A" w:rsidRDefault="00E9792A" w:rsidP="00E9792A">
      <w:pPr>
        <w:pStyle w:val="Akapitzlist"/>
        <w:numPr>
          <w:ilvl w:val="0"/>
          <w:numId w:val="1"/>
        </w:numPr>
        <w:ind w:left="284" w:hanging="284"/>
        <w:jc w:val="both"/>
        <w:rPr>
          <w:rFonts w:ascii="Arial" w:hAnsi="Arial" w:cs="Arial"/>
          <w:sz w:val="22"/>
          <w:szCs w:val="22"/>
        </w:rPr>
      </w:pPr>
      <w:r w:rsidRPr="00E9792A">
        <w:rPr>
          <w:rFonts w:ascii="Arial" w:hAnsi="Arial" w:cs="Arial"/>
          <w:sz w:val="22"/>
          <w:szCs w:val="22"/>
        </w:rPr>
        <w:t xml:space="preserve">Przedmiotem umowy jest świadczenie przez Sprzedawcę na rzecz Odbiorcy usługi kompleksowej, polegającej na sprzedaży energii elektrycznej oraz zapewnieniu świadczenia usługi jej dystrybucji. </w:t>
      </w:r>
    </w:p>
    <w:p w:rsidR="00E9792A" w:rsidRDefault="00E9792A" w:rsidP="00E9792A">
      <w:pPr>
        <w:pStyle w:val="Akapitzlist"/>
        <w:numPr>
          <w:ilvl w:val="0"/>
          <w:numId w:val="1"/>
        </w:numPr>
        <w:ind w:left="284" w:hanging="284"/>
        <w:jc w:val="both"/>
        <w:rPr>
          <w:rFonts w:ascii="Arial" w:hAnsi="Arial" w:cs="Arial"/>
          <w:sz w:val="22"/>
          <w:szCs w:val="22"/>
        </w:rPr>
      </w:pPr>
      <w:r w:rsidRPr="00E9792A">
        <w:rPr>
          <w:rFonts w:ascii="Arial" w:hAnsi="Arial" w:cs="Arial"/>
          <w:sz w:val="22"/>
          <w:szCs w:val="22"/>
        </w:rPr>
        <w:t>Sprzedawca oświadcza, że posiada zawartą umowę o świadczenie usług dystrybucji z</w:t>
      </w:r>
      <w:r w:rsidR="00FB667C">
        <w:rPr>
          <w:rFonts w:ascii="Arial" w:hAnsi="Arial" w:cs="Arial"/>
          <w:sz w:val="22"/>
          <w:szCs w:val="22"/>
        </w:rPr>
        <w:t> </w:t>
      </w:r>
      <w:r w:rsidRPr="00E9792A">
        <w:rPr>
          <w:rFonts w:ascii="Arial" w:hAnsi="Arial" w:cs="Arial"/>
          <w:sz w:val="22"/>
          <w:szCs w:val="22"/>
        </w:rPr>
        <w:t>Operatorem Systemu Dystrybucyjnego (OSD), którego funkcję pełni PGE Dystrybucja S.A., z której wynika, że Sprzedawca jest uprawniony do zawarcia niniejszej Umowy. Stosownie do postanowień przywołanej umowy zawartej pomiędzy OSD a Sprzedawcą, OSD zobowiązał się do świadczenia usług dystrybucji energii elektrycznej, poprzez transport energii elektrycznej sieciami dystrybucyjnymi, w celu jej dostarczania odbiorcom przyłączonym do sieci OSD.</w:t>
      </w:r>
    </w:p>
    <w:p w:rsidR="00E9792A" w:rsidRDefault="00E9792A" w:rsidP="00E9792A">
      <w:pPr>
        <w:pStyle w:val="Akapitzlist"/>
        <w:numPr>
          <w:ilvl w:val="0"/>
          <w:numId w:val="1"/>
        </w:numPr>
        <w:ind w:left="284" w:hanging="284"/>
        <w:jc w:val="both"/>
        <w:rPr>
          <w:rFonts w:ascii="Arial" w:hAnsi="Arial" w:cs="Arial"/>
          <w:sz w:val="22"/>
          <w:szCs w:val="22"/>
        </w:rPr>
      </w:pPr>
      <w:r w:rsidRPr="00E9792A">
        <w:rPr>
          <w:rFonts w:ascii="Arial" w:hAnsi="Arial" w:cs="Arial"/>
          <w:sz w:val="22"/>
          <w:szCs w:val="22"/>
        </w:rPr>
        <w:t>Usługa kompleksowa będzie świadczona do wszystkich PPE wskazanych w załączniku.</w:t>
      </w:r>
    </w:p>
    <w:p w:rsidR="00E9792A" w:rsidRPr="00E9792A" w:rsidRDefault="00E9792A" w:rsidP="00E9792A">
      <w:pPr>
        <w:pStyle w:val="Akapitzlist"/>
        <w:numPr>
          <w:ilvl w:val="0"/>
          <w:numId w:val="1"/>
        </w:numPr>
        <w:ind w:left="284" w:hanging="284"/>
        <w:jc w:val="both"/>
        <w:rPr>
          <w:rFonts w:ascii="Arial" w:hAnsi="Arial" w:cs="Arial"/>
          <w:sz w:val="22"/>
          <w:szCs w:val="22"/>
        </w:rPr>
      </w:pPr>
      <w:r w:rsidRPr="00E9792A">
        <w:rPr>
          <w:rFonts w:ascii="Arial" w:hAnsi="Arial" w:cs="Arial"/>
          <w:sz w:val="22"/>
          <w:szCs w:val="22"/>
        </w:rPr>
        <w:t xml:space="preserve">Umowa niniejsza zostaje zawarta na okres 36 miesięcy: od 01.01.2025 r. do 31.12.2027 r. </w:t>
      </w:r>
    </w:p>
    <w:p w:rsidR="00E9792A" w:rsidRPr="00E9792A" w:rsidRDefault="00E9792A" w:rsidP="00E9792A">
      <w:pPr>
        <w:jc w:val="both"/>
        <w:rPr>
          <w:rFonts w:ascii="Arial" w:hAnsi="Arial" w:cs="Arial"/>
          <w:sz w:val="22"/>
          <w:szCs w:val="22"/>
        </w:rPr>
      </w:pP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t>§ 2</w:t>
      </w:r>
    </w:p>
    <w:p w:rsidR="00E9792A" w:rsidRDefault="00E9792A" w:rsidP="00E9792A">
      <w:pPr>
        <w:pStyle w:val="Akapitzlist"/>
        <w:numPr>
          <w:ilvl w:val="0"/>
          <w:numId w:val="2"/>
        </w:numPr>
        <w:ind w:left="426" w:hanging="426"/>
        <w:jc w:val="both"/>
        <w:rPr>
          <w:rFonts w:ascii="Arial" w:hAnsi="Arial" w:cs="Arial"/>
          <w:sz w:val="22"/>
          <w:szCs w:val="22"/>
        </w:rPr>
      </w:pPr>
      <w:r w:rsidRPr="00E9792A">
        <w:rPr>
          <w:rFonts w:ascii="Arial" w:hAnsi="Arial" w:cs="Arial"/>
          <w:sz w:val="22"/>
          <w:szCs w:val="22"/>
        </w:rPr>
        <w:t>Odbiorca oświadcza, że: nie posiada koncesji/posiada koncesję na*: wytwarzanie/ obrót / przesyłanie / dystrybucję energii elektrycznej*) Zakupiona energia elektryczna zostanie/ nie zostanie* przeznaczona do dalszej odsprzedaży.</w:t>
      </w:r>
    </w:p>
    <w:p w:rsidR="00E9792A" w:rsidRPr="00E9792A" w:rsidRDefault="00E9792A" w:rsidP="00E9792A">
      <w:pPr>
        <w:pStyle w:val="Akapitzlist"/>
        <w:numPr>
          <w:ilvl w:val="0"/>
          <w:numId w:val="2"/>
        </w:numPr>
        <w:ind w:left="426" w:hanging="426"/>
        <w:jc w:val="both"/>
        <w:rPr>
          <w:rFonts w:ascii="Arial" w:hAnsi="Arial" w:cs="Arial"/>
          <w:sz w:val="22"/>
          <w:szCs w:val="22"/>
        </w:rPr>
      </w:pPr>
      <w:r w:rsidRPr="00E9792A">
        <w:rPr>
          <w:rFonts w:ascii="Arial" w:hAnsi="Arial" w:cs="Arial"/>
          <w:sz w:val="22"/>
          <w:szCs w:val="22"/>
        </w:rPr>
        <w:t xml:space="preserve">W przypadku uszkodzenia układu pomiarowo - rozliczeniowego Sprzedawca zastrzega sobie prawo do rozliczenia pobranej energii elektrycznej na podstawie współczynników korekcji.                                                                                                                                                                                                                                                                                                                                                                                                                 </w:t>
      </w:r>
    </w:p>
    <w:p w:rsidR="00E9792A" w:rsidRPr="00E9792A" w:rsidRDefault="00E9792A" w:rsidP="00E9792A">
      <w:pPr>
        <w:jc w:val="both"/>
        <w:rPr>
          <w:rFonts w:ascii="Arial" w:hAnsi="Arial" w:cs="Arial"/>
          <w:sz w:val="22"/>
          <w:szCs w:val="22"/>
        </w:rPr>
      </w:pP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t>§ 3</w:t>
      </w:r>
    </w:p>
    <w:p w:rsidR="00E9792A" w:rsidRDefault="00E9792A" w:rsidP="00E9792A">
      <w:pPr>
        <w:pStyle w:val="Akapitzlist"/>
        <w:numPr>
          <w:ilvl w:val="0"/>
          <w:numId w:val="4"/>
        </w:numPr>
        <w:ind w:left="426" w:hanging="426"/>
        <w:jc w:val="both"/>
        <w:rPr>
          <w:rFonts w:ascii="Arial" w:hAnsi="Arial" w:cs="Arial"/>
          <w:sz w:val="22"/>
          <w:szCs w:val="22"/>
        </w:rPr>
      </w:pPr>
      <w:r w:rsidRPr="00E9792A">
        <w:rPr>
          <w:rFonts w:ascii="Arial" w:hAnsi="Arial" w:cs="Arial"/>
          <w:sz w:val="22"/>
          <w:szCs w:val="22"/>
        </w:rPr>
        <w:t>OSD jest uprawniony do określania dopuszczalnego poboru mocy przez Odbiorcę w</w:t>
      </w:r>
      <w:r w:rsidR="00FB667C">
        <w:rPr>
          <w:rFonts w:ascii="Arial" w:hAnsi="Arial" w:cs="Arial"/>
          <w:sz w:val="22"/>
          <w:szCs w:val="22"/>
        </w:rPr>
        <w:t> </w:t>
      </w:r>
      <w:r w:rsidRPr="00E9792A">
        <w:rPr>
          <w:rFonts w:ascii="Arial" w:hAnsi="Arial" w:cs="Arial"/>
          <w:sz w:val="22"/>
          <w:szCs w:val="22"/>
        </w:rPr>
        <w:t>poszczególnych stopniach zasilania i zobowiązuje się informować o tym Odbiorcę na piśmie zgodnie z aktami wykonawczymi do ustawy Prawo Energetyczne.</w:t>
      </w:r>
    </w:p>
    <w:p w:rsidR="00E9792A" w:rsidRDefault="00E9792A" w:rsidP="00E9792A">
      <w:pPr>
        <w:pStyle w:val="Akapitzlist"/>
        <w:numPr>
          <w:ilvl w:val="0"/>
          <w:numId w:val="4"/>
        </w:numPr>
        <w:ind w:left="426" w:hanging="426"/>
        <w:jc w:val="both"/>
        <w:rPr>
          <w:rFonts w:ascii="Arial" w:hAnsi="Arial" w:cs="Arial"/>
          <w:sz w:val="22"/>
          <w:szCs w:val="22"/>
        </w:rPr>
      </w:pPr>
      <w:r w:rsidRPr="00E9792A">
        <w:rPr>
          <w:rFonts w:ascii="Arial" w:hAnsi="Arial" w:cs="Arial"/>
          <w:sz w:val="22"/>
          <w:szCs w:val="22"/>
        </w:rPr>
        <w:t>Odbiorca zobowiązuje się dostosować do ograniczeń wprowadzonych zgodnie z aktami wykonawczymi do ustawy Prawo Energetyczne.</w:t>
      </w:r>
    </w:p>
    <w:p w:rsidR="00E9792A" w:rsidRDefault="00E9792A" w:rsidP="00E9792A">
      <w:pPr>
        <w:pStyle w:val="Akapitzlist"/>
        <w:numPr>
          <w:ilvl w:val="0"/>
          <w:numId w:val="4"/>
        </w:numPr>
        <w:ind w:left="426" w:hanging="426"/>
        <w:jc w:val="both"/>
        <w:rPr>
          <w:rFonts w:ascii="Arial" w:hAnsi="Arial" w:cs="Arial"/>
          <w:sz w:val="22"/>
          <w:szCs w:val="22"/>
        </w:rPr>
      </w:pPr>
      <w:r w:rsidRPr="00E9792A">
        <w:rPr>
          <w:rFonts w:ascii="Arial" w:hAnsi="Arial" w:cs="Arial"/>
          <w:sz w:val="22"/>
          <w:szCs w:val="22"/>
        </w:rPr>
        <w:t>Odbiorca zobowiązuje się do należytej staranności w prowadzeniu eksploatacji swoich urządzeń i instalacji zgodnie z zasadami określonymi w Instrukcji Współpracy Ruchowej oraz Instrukcji Ruchu i Eksploatacji Sieci Dystrybucyjnej oraz własnymi instrukcjami, w tym zapewnienia właściwego i poprawnego działania układów pomiarowo – rozliczeniowych oraz urządzeń służących do zdalnej transmisji danych pomiarowych do OSD. Wprowadzenie innych standardów eksploatacji urządzeń i instalacji wymaga wcześniejszego pisemnego uzgodnienia z OSD.</w:t>
      </w:r>
    </w:p>
    <w:p w:rsidR="00E9792A" w:rsidRDefault="00E9792A" w:rsidP="00E9792A">
      <w:pPr>
        <w:pStyle w:val="Akapitzlist"/>
        <w:numPr>
          <w:ilvl w:val="0"/>
          <w:numId w:val="4"/>
        </w:numPr>
        <w:ind w:left="426" w:hanging="426"/>
        <w:jc w:val="both"/>
        <w:rPr>
          <w:rFonts w:ascii="Arial" w:hAnsi="Arial" w:cs="Arial"/>
          <w:sz w:val="22"/>
          <w:szCs w:val="22"/>
        </w:rPr>
      </w:pPr>
      <w:r w:rsidRPr="00E9792A">
        <w:rPr>
          <w:rFonts w:ascii="Arial" w:hAnsi="Arial" w:cs="Arial"/>
          <w:sz w:val="22"/>
          <w:szCs w:val="22"/>
        </w:rPr>
        <w:t>Umowa uwzględnia postanowienia:</w:t>
      </w:r>
    </w:p>
    <w:p w:rsidR="00E9792A" w:rsidRDefault="00E9792A" w:rsidP="00E9792A">
      <w:pPr>
        <w:pStyle w:val="Akapitzlist"/>
        <w:numPr>
          <w:ilvl w:val="0"/>
          <w:numId w:val="5"/>
        </w:numPr>
        <w:jc w:val="both"/>
        <w:rPr>
          <w:rFonts w:ascii="Arial" w:hAnsi="Arial" w:cs="Arial"/>
          <w:sz w:val="22"/>
          <w:szCs w:val="22"/>
        </w:rPr>
      </w:pPr>
      <w:r w:rsidRPr="00E9792A">
        <w:rPr>
          <w:rFonts w:ascii="Arial" w:hAnsi="Arial" w:cs="Arial"/>
          <w:sz w:val="22"/>
          <w:szCs w:val="22"/>
        </w:rPr>
        <w:t>ustawy z dnia 23 kwietnia 1964 r. Kodeks Cywilny</w:t>
      </w:r>
    </w:p>
    <w:p w:rsidR="00E9792A" w:rsidRDefault="00E9792A" w:rsidP="00E9792A">
      <w:pPr>
        <w:pStyle w:val="Akapitzlist"/>
        <w:numPr>
          <w:ilvl w:val="0"/>
          <w:numId w:val="5"/>
        </w:numPr>
        <w:jc w:val="both"/>
        <w:rPr>
          <w:rFonts w:ascii="Arial" w:hAnsi="Arial" w:cs="Arial"/>
          <w:sz w:val="22"/>
          <w:szCs w:val="22"/>
        </w:rPr>
      </w:pPr>
      <w:r w:rsidRPr="00E9792A">
        <w:rPr>
          <w:rFonts w:ascii="Arial" w:hAnsi="Arial" w:cs="Arial"/>
          <w:sz w:val="22"/>
          <w:szCs w:val="22"/>
        </w:rPr>
        <w:t>ustawy z dnia 10 kwietnia 1997r. Prawo zwanej dalej Ustawą, wraz z aktami wykonawczymi do tej ustawy;</w:t>
      </w:r>
    </w:p>
    <w:p w:rsidR="00E9792A" w:rsidRDefault="00E9792A" w:rsidP="00E9792A">
      <w:pPr>
        <w:pStyle w:val="Akapitzlist"/>
        <w:numPr>
          <w:ilvl w:val="0"/>
          <w:numId w:val="5"/>
        </w:numPr>
        <w:jc w:val="both"/>
        <w:rPr>
          <w:rFonts w:ascii="Arial" w:hAnsi="Arial" w:cs="Arial"/>
          <w:sz w:val="22"/>
          <w:szCs w:val="22"/>
        </w:rPr>
      </w:pPr>
      <w:r w:rsidRPr="00E9792A">
        <w:rPr>
          <w:rFonts w:ascii="Arial" w:hAnsi="Arial" w:cs="Arial"/>
          <w:sz w:val="22"/>
          <w:szCs w:val="22"/>
        </w:rPr>
        <w:t>koncesji Sprzedawcy na obrót energią elektryczną;</w:t>
      </w:r>
    </w:p>
    <w:p w:rsidR="00E9792A" w:rsidRPr="00E9792A" w:rsidRDefault="00E9792A" w:rsidP="00E9792A">
      <w:pPr>
        <w:pStyle w:val="Akapitzlist"/>
        <w:numPr>
          <w:ilvl w:val="0"/>
          <w:numId w:val="5"/>
        </w:numPr>
        <w:jc w:val="both"/>
        <w:rPr>
          <w:rFonts w:ascii="Arial" w:hAnsi="Arial" w:cs="Arial"/>
          <w:sz w:val="22"/>
          <w:szCs w:val="22"/>
        </w:rPr>
      </w:pPr>
      <w:r w:rsidRPr="00E9792A">
        <w:rPr>
          <w:rFonts w:ascii="Arial" w:hAnsi="Arial" w:cs="Arial"/>
          <w:sz w:val="22"/>
          <w:szCs w:val="22"/>
        </w:rPr>
        <w:t xml:space="preserve">koncesji OSD na dystrybucję energii elektrycznej. </w:t>
      </w:r>
    </w:p>
    <w:p w:rsidR="00E9792A" w:rsidRDefault="00E9792A" w:rsidP="00E9792A">
      <w:pPr>
        <w:jc w:val="both"/>
        <w:rPr>
          <w:rFonts w:ascii="Arial" w:hAnsi="Arial" w:cs="Arial"/>
          <w:sz w:val="22"/>
          <w:szCs w:val="22"/>
        </w:rPr>
      </w:pPr>
    </w:p>
    <w:p w:rsidR="00E9792A" w:rsidRDefault="00E9792A" w:rsidP="00E9792A">
      <w:pPr>
        <w:jc w:val="both"/>
        <w:rPr>
          <w:rFonts w:ascii="Arial" w:hAnsi="Arial" w:cs="Arial"/>
          <w:sz w:val="22"/>
          <w:szCs w:val="22"/>
        </w:rPr>
      </w:pPr>
    </w:p>
    <w:p w:rsidR="00E9792A" w:rsidRDefault="00E9792A" w:rsidP="00E9792A">
      <w:pPr>
        <w:jc w:val="both"/>
        <w:rPr>
          <w:rFonts w:ascii="Arial" w:hAnsi="Arial" w:cs="Arial"/>
          <w:sz w:val="22"/>
          <w:szCs w:val="22"/>
        </w:rPr>
      </w:pPr>
    </w:p>
    <w:p w:rsidR="00E9792A" w:rsidRPr="00E9792A" w:rsidRDefault="00E9792A" w:rsidP="00E9792A">
      <w:pPr>
        <w:jc w:val="both"/>
        <w:rPr>
          <w:rFonts w:ascii="Arial" w:hAnsi="Arial" w:cs="Arial"/>
          <w:sz w:val="22"/>
          <w:szCs w:val="22"/>
        </w:rPr>
      </w:pP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lastRenderedPageBreak/>
        <w:t>§ 4</w:t>
      </w:r>
    </w:p>
    <w:p w:rsidR="00E9792A" w:rsidRPr="00E9792A" w:rsidRDefault="00E9792A" w:rsidP="00E9792A">
      <w:pPr>
        <w:pStyle w:val="Akapitzlist"/>
        <w:numPr>
          <w:ilvl w:val="0"/>
          <w:numId w:val="6"/>
        </w:numPr>
        <w:ind w:left="426" w:hanging="426"/>
        <w:jc w:val="both"/>
        <w:rPr>
          <w:rFonts w:ascii="Arial" w:hAnsi="Arial" w:cs="Arial"/>
          <w:sz w:val="22"/>
          <w:szCs w:val="22"/>
        </w:rPr>
      </w:pPr>
      <w:r w:rsidRPr="00E9792A">
        <w:rPr>
          <w:rFonts w:ascii="Arial" w:hAnsi="Arial" w:cs="Arial"/>
          <w:sz w:val="22"/>
          <w:szCs w:val="22"/>
        </w:rPr>
        <w:t>Odbiorca oświadcza, że poprzez zawarcie Umowy sprzedaży energii elektrycznej i świadczenia usługi dystrybucji wskazuje Sprzedawcę jako podmiot odpowiedzialny za bilansowanie handlowe na rynku bilansującym. Sprzedawca może zlecić wykonanie obowiązków w zakresie bilansowania handlowego Odbiorcy innemu podmiotowi.</w:t>
      </w:r>
    </w:p>
    <w:p w:rsidR="00E9792A" w:rsidRDefault="00E9792A" w:rsidP="00E9792A">
      <w:pPr>
        <w:jc w:val="both"/>
        <w:rPr>
          <w:rFonts w:ascii="Arial" w:hAnsi="Arial" w:cs="Arial"/>
          <w:sz w:val="22"/>
          <w:szCs w:val="22"/>
        </w:rPr>
      </w:pPr>
    </w:p>
    <w:p w:rsidR="00E9792A" w:rsidRDefault="00E9792A" w:rsidP="00E9792A">
      <w:pPr>
        <w:jc w:val="center"/>
        <w:rPr>
          <w:rFonts w:ascii="Arial" w:hAnsi="Arial" w:cs="Arial"/>
          <w:sz w:val="22"/>
          <w:szCs w:val="22"/>
        </w:rPr>
      </w:pPr>
      <w:r w:rsidRPr="00E9792A">
        <w:rPr>
          <w:rFonts w:ascii="Arial" w:hAnsi="Arial" w:cs="Arial"/>
          <w:sz w:val="22"/>
          <w:szCs w:val="22"/>
        </w:rPr>
        <w:t>ROZDZIAŁ 2</w:t>
      </w:r>
    </w:p>
    <w:p w:rsidR="00E9792A" w:rsidRPr="00E9792A" w:rsidRDefault="00E9792A" w:rsidP="00E9792A">
      <w:pPr>
        <w:jc w:val="center"/>
        <w:rPr>
          <w:rFonts w:ascii="Arial" w:hAnsi="Arial" w:cs="Arial"/>
          <w:sz w:val="22"/>
          <w:szCs w:val="22"/>
        </w:rPr>
      </w:pPr>
    </w:p>
    <w:p w:rsidR="00E9792A" w:rsidRDefault="00E9792A" w:rsidP="00E9792A">
      <w:pPr>
        <w:jc w:val="center"/>
        <w:rPr>
          <w:rFonts w:ascii="Arial" w:hAnsi="Arial" w:cs="Arial"/>
          <w:sz w:val="22"/>
          <w:szCs w:val="22"/>
        </w:rPr>
      </w:pPr>
      <w:r w:rsidRPr="00E9792A">
        <w:rPr>
          <w:rFonts w:ascii="Arial" w:hAnsi="Arial" w:cs="Arial"/>
          <w:sz w:val="22"/>
          <w:szCs w:val="22"/>
        </w:rPr>
        <w:t>PRAWA I OBOWIĄZKI STRON</w:t>
      </w:r>
    </w:p>
    <w:p w:rsidR="00E9792A" w:rsidRPr="00E9792A" w:rsidRDefault="00E9792A" w:rsidP="00E9792A">
      <w:pPr>
        <w:jc w:val="center"/>
        <w:rPr>
          <w:rFonts w:ascii="Arial" w:hAnsi="Arial" w:cs="Arial"/>
          <w:sz w:val="22"/>
          <w:szCs w:val="22"/>
        </w:rPr>
      </w:pP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t>§ 5</w:t>
      </w:r>
    </w:p>
    <w:p w:rsidR="00E9792A" w:rsidRDefault="00E9792A" w:rsidP="00E9792A">
      <w:pPr>
        <w:pStyle w:val="Akapitzlist"/>
        <w:numPr>
          <w:ilvl w:val="0"/>
          <w:numId w:val="7"/>
        </w:numPr>
        <w:ind w:left="426" w:hanging="426"/>
        <w:jc w:val="both"/>
        <w:rPr>
          <w:rFonts w:ascii="Arial" w:hAnsi="Arial" w:cs="Arial"/>
          <w:sz w:val="22"/>
          <w:szCs w:val="22"/>
        </w:rPr>
      </w:pPr>
      <w:r w:rsidRPr="00E9792A">
        <w:rPr>
          <w:rFonts w:ascii="Arial" w:hAnsi="Arial" w:cs="Arial"/>
          <w:sz w:val="22"/>
          <w:szCs w:val="22"/>
        </w:rPr>
        <w:t>Oświadczenie Sprzedawcy o posiadaniu oświadczenie Operatora Systemu Dystrybucyjnego, w którym OSD zobowiązuje się do:</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Przestrzegania aktualnie obowiązujących przepisów dotyczących warunków dystrybucji energii elektrycznej, budowy i eksploatacji urządzeń elektroenergetycznych, ochrony przeciwporażeniowej, przeciwpożarowej i</w:t>
      </w:r>
      <w:r w:rsidR="00FB667C">
        <w:rPr>
          <w:rFonts w:ascii="Arial" w:hAnsi="Arial" w:cs="Arial"/>
          <w:sz w:val="22"/>
          <w:szCs w:val="22"/>
        </w:rPr>
        <w:t> </w:t>
      </w:r>
      <w:r w:rsidRPr="00E9792A">
        <w:rPr>
          <w:rFonts w:ascii="Arial" w:hAnsi="Arial" w:cs="Arial"/>
          <w:sz w:val="22"/>
          <w:szCs w:val="22"/>
        </w:rPr>
        <w:t>środowiska naturalnego w zakresie eksploatowanych przez siebie urządzeń.</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Zachowania w miejscach dostarczania energii elektrycznej standardów jakościowych energii elektrycznej, zgodne z obowiązującym Rozporządzeniem Ministra Gospodarki z dnia 22 marca 2023 r. w sprawie szczegółowych warunków funkcjonowania systemu elektroenergetycznego</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Bezzwłocznego przystąpienia do usuwania zakłóceń w dostarczaniu energii elektrycznej spowodowanych nieprawidłową pracą sieci dystrybucyjnej.</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Ograniczenia przerw w dostarczaniu energii elektrycznej w wypadku awarii do</w:t>
      </w:r>
      <w:r w:rsidR="00FB667C">
        <w:rPr>
          <w:rFonts w:ascii="Arial" w:hAnsi="Arial" w:cs="Arial"/>
          <w:sz w:val="22"/>
          <w:szCs w:val="22"/>
        </w:rPr>
        <w:t> </w:t>
      </w:r>
      <w:r w:rsidRPr="00E9792A">
        <w:rPr>
          <w:rFonts w:ascii="Arial" w:hAnsi="Arial" w:cs="Arial"/>
          <w:sz w:val="22"/>
          <w:szCs w:val="22"/>
        </w:rPr>
        <w:t>niezbędnego minimum.</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Instalowania i konserwacji układów pomiarowych i sterowników czasowych w</w:t>
      </w:r>
      <w:r w:rsidR="00FB667C">
        <w:rPr>
          <w:rFonts w:ascii="Arial" w:hAnsi="Arial" w:cs="Arial"/>
          <w:sz w:val="22"/>
          <w:szCs w:val="22"/>
        </w:rPr>
        <w:t> </w:t>
      </w:r>
      <w:r w:rsidRPr="00E9792A">
        <w:rPr>
          <w:rFonts w:ascii="Arial" w:hAnsi="Arial" w:cs="Arial"/>
          <w:sz w:val="22"/>
          <w:szCs w:val="22"/>
        </w:rPr>
        <w:t xml:space="preserve">przypadku Odbiorców z grupy IV, V i VI zasilanych z sieci o napięciu znamionowym do 1 </w:t>
      </w:r>
      <w:proofErr w:type="spellStart"/>
      <w:r w:rsidRPr="00E9792A">
        <w:rPr>
          <w:rFonts w:ascii="Arial" w:hAnsi="Arial" w:cs="Arial"/>
          <w:sz w:val="22"/>
          <w:szCs w:val="22"/>
        </w:rPr>
        <w:t>kV</w:t>
      </w:r>
      <w:proofErr w:type="spellEnd"/>
      <w:r w:rsidRPr="00E9792A">
        <w:rPr>
          <w:rFonts w:ascii="Arial" w:hAnsi="Arial" w:cs="Arial"/>
          <w:sz w:val="22"/>
          <w:szCs w:val="22"/>
        </w:rPr>
        <w:t>, oraz układów transmisji danych pomiarowych w przypadku Odbiorców z zainstalowanymi układami transmisji.</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Wymiany liczników nie będących własnością Odbiorcy, w przypadku:</w:t>
      </w:r>
    </w:p>
    <w:p w:rsidR="00E9792A" w:rsidRDefault="00E9792A" w:rsidP="00E9792A">
      <w:pPr>
        <w:pStyle w:val="Akapitzlist"/>
        <w:numPr>
          <w:ilvl w:val="0"/>
          <w:numId w:val="9"/>
        </w:numPr>
        <w:jc w:val="both"/>
        <w:rPr>
          <w:rFonts w:ascii="Arial" w:hAnsi="Arial" w:cs="Arial"/>
          <w:sz w:val="22"/>
          <w:szCs w:val="22"/>
        </w:rPr>
      </w:pPr>
      <w:r w:rsidRPr="00E9792A">
        <w:rPr>
          <w:rFonts w:ascii="Arial" w:hAnsi="Arial" w:cs="Arial"/>
          <w:sz w:val="22"/>
          <w:szCs w:val="22"/>
        </w:rPr>
        <w:t>żądania przez Odbiorcę laboratoryjnego sprawdzenia działania licznika,</w:t>
      </w:r>
    </w:p>
    <w:p w:rsidR="00E9792A" w:rsidRDefault="00E9792A" w:rsidP="00E9792A">
      <w:pPr>
        <w:pStyle w:val="Akapitzlist"/>
        <w:numPr>
          <w:ilvl w:val="0"/>
          <w:numId w:val="9"/>
        </w:numPr>
        <w:jc w:val="both"/>
        <w:rPr>
          <w:rFonts w:ascii="Arial" w:hAnsi="Arial" w:cs="Arial"/>
          <w:sz w:val="22"/>
          <w:szCs w:val="22"/>
        </w:rPr>
      </w:pPr>
      <w:r w:rsidRPr="00E9792A">
        <w:rPr>
          <w:rFonts w:ascii="Arial" w:hAnsi="Arial" w:cs="Arial"/>
          <w:sz w:val="22"/>
          <w:szCs w:val="22"/>
        </w:rPr>
        <w:t>okoliczności wynikających z ustawy – Prawo o miarach.</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Odpłatnego podjęcia stosownych czynności w sieci dystrybucyjnej w celu umożliwienia bezpiecznego wykonania przez Odbiorcę prac w obszarze oddziaływania tej sieci.</w:t>
      </w:r>
    </w:p>
    <w:p w:rsid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Przyjmowania przez całą dobę zgłoszeń i reklamacji od Odbiorców dotyczących standardów jakościowych.</w:t>
      </w:r>
    </w:p>
    <w:p w:rsidR="00E9792A" w:rsidRPr="00E9792A" w:rsidRDefault="00E9792A" w:rsidP="00E9792A">
      <w:pPr>
        <w:pStyle w:val="Akapitzlist"/>
        <w:numPr>
          <w:ilvl w:val="0"/>
          <w:numId w:val="8"/>
        </w:numPr>
        <w:jc w:val="both"/>
        <w:rPr>
          <w:rFonts w:ascii="Arial" w:hAnsi="Arial" w:cs="Arial"/>
          <w:sz w:val="22"/>
          <w:szCs w:val="22"/>
        </w:rPr>
      </w:pPr>
      <w:r w:rsidRPr="00E9792A">
        <w:rPr>
          <w:rFonts w:ascii="Arial" w:hAnsi="Arial" w:cs="Arial"/>
          <w:sz w:val="22"/>
          <w:szCs w:val="22"/>
        </w:rPr>
        <w:t>Udzielania Odbiorcom, na ich życzenie, informacji o przewidywanym terminie wznowienia dostaw energii elektrycznej przerwanych z powodu awarii sieci.</w:t>
      </w:r>
    </w:p>
    <w:p w:rsidR="00E9792A" w:rsidRPr="00E9792A" w:rsidRDefault="00E9792A" w:rsidP="00E9792A">
      <w:pPr>
        <w:jc w:val="both"/>
        <w:rPr>
          <w:rFonts w:ascii="Arial" w:hAnsi="Arial" w:cs="Arial"/>
          <w:sz w:val="22"/>
          <w:szCs w:val="22"/>
        </w:rPr>
      </w:pP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t>§ 6</w:t>
      </w:r>
    </w:p>
    <w:p w:rsidR="00E9792A" w:rsidRDefault="00E9792A" w:rsidP="00E9792A">
      <w:pPr>
        <w:jc w:val="both"/>
        <w:rPr>
          <w:rFonts w:ascii="Arial" w:hAnsi="Arial" w:cs="Arial"/>
          <w:sz w:val="22"/>
          <w:szCs w:val="22"/>
        </w:rPr>
      </w:pPr>
      <w:r w:rsidRPr="00E9792A">
        <w:rPr>
          <w:rFonts w:ascii="Arial" w:hAnsi="Arial" w:cs="Arial"/>
          <w:sz w:val="22"/>
          <w:szCs w:val="22"/>
        </w:rPr>
        <w:t>SPRZEDAWCA ZOBOWIĄZUJE SIĘ DO:</w:t>
      </w:r>
    </w:p>
    <w:p w:rsidR="00E9792A" w:rsidRPr="00E9792A" w:rsidRDefault="00E9792A" w:rsidP="00E9792A">
      <w:pPr>
        <w:jc w:val="both"/>
        <w:rPr>
          <w:rFonts w:ascii="Arial" w:hAnsi="Arial" w:cs="Arial"/>
          <w:sz w:val="22"/>
          <w:szCs w:val="22"/>
        </w:rPr>
      </w:pP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Sprzedaży energii elektrycznej Odbiorcy według rzeczywistego zapotrzebowania w okresach rozliczeniowych.</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Przyjmowania, w godzinach urzędowania, we wszystkich jednostkach organizacyjnych Sprzedawcy wniosków, zgłoszeń i reklamacji od Odbiorców dotyczących dostarczania energii elektrycznej.</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 xml:space="preserve">Udzielania, na pisemny wniosek Odbiorcy, po rozpatrzeniu i uznaniu przez OSD jego zasadności, bonifikat za niedotrzymanie przez OSD parametrów jakościowych energii elektrycznej. </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Udzielania, na pisemny wniosek Odbiorcy, po rozpatrzeniu i uznaniu jego zasadności, bonifikat za niedotrzymanie przez Sprzedawcę standardów jakościowych obsługi Odbiorców w wysokościach określonych w Regulaminie, Taryfie Sprzedawcy lub w Cenniku - w terminie 30 dni od dnia złożenia wniosku.</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lastRenderedPageBreak/>
        <w:t>Wznowienia dostaw energii elektrycznej, jeżeli ustaną przyczyny uzasadniające wstrzymanie jej dostarczania. Odbiorca pokrywa koszt wznowienia dostaw energii elektrycznej, zgodnie z taryfą OSD.</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Dokonywania rozliczeń za sprzedaż energii elektrycznej oraz świadczone usługi dystrybucji, zgodnie z zawartą Umową.</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Udzielania nieodpłatnych informacji w sprawie zasad rozliczeń oraz aktualnych Taryf lub</w:t>
      </w:r>
      <w:r w:rsidR="00FB667C">
        <w:rPr>
          <w:rFonts w:ascii="Arial" w:hAnsi="Arial" w:cs="Arial"/>
          <w:sz w:val="22"/>
          <w:szCs w:val="22"/>
        </w:rPr>
        <w:t> </w:t>
      </w:r>
      <w:r w:rsidRPr="00E9792A">
        <w:rPr>
          <w:rFonts w:ascii="Arial" w:hAnsi="Arial" w:cs="Arial"/>
          <w:sz w:val="22"/>
          <w:szCs w:val="22"/>
        </w:rPr>
        <w:t>Cennika.</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Rozpatrzenia wniosku lub reklamacji odbiorcy w sprawie rozliczeń i udzielania odpowiedzi nie później niż w terminie 14 dni od daty złożenia wniosku lub zgłoszenia reklamacji.</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Zmiany na pisemny wniosek Odbiorcy grupy taryfowej nie częściej niż co 12 miesięcy, przy</w:t>
      </w:r>
      <w:r w:rsidR="00FB667C">
        <w:rPr>
          <w:rFonts w:ascii="Arial" w:hAnsi="Arial" w:cs="Arial"/>
          <w:sz w:val="22"/>
          <w:szCs w:val="22"/>
        </w:rPr>
        <w:t> </w:t>
      </w:r>
      <w:r w:rsidRPr="00E9792A">
        <w:rPr>
          <w:rFonts w:ascii="Arial" w:hAnsi="Arial" w:cs="Arial"/>
          <w:sz w:val="22"/>
          <w:szCs w:val="22"/>
        </w:rPr>
        <w:t>czym o planowanej zmianie Odbiorca zobowiązany jest powiadomić Sprzedawcę nie później niż na 30 dni przed wskazanym terminem zmiany. Odbiorca dostosuje instalację i układ pomiarowo-rozliczeniowy własnym kosztem i staraniem do rozliczania według innej grupy taryfowej.</w:t>
      </w:r>
    </w:p>
    <w:p w:rsidR="00E9792A" w:rsidRDefault="00E9792A" w:rsidP="00E9792A">
      <w:pPr>
        <w:pStyle w:val="Akapitzlist"/>
        <w:numPr>
          <w:ilvl w:val="0"/>
          <w:numId w:val="11"/>
        </w:numPr>
        <w:ind w:left="284" w:hanging="284"/>
        <w:jc w:val="both"/>
        <w:rPr>
          <w:rFonts w:ascii="Arial" w:hAnsi="Arial" w:cs="Arial"/>
          <w:sz w:val="22"/>
          <w:szCs w:val="22"/>
        </w:rPr>
      </w:pPr>
      <w:r w:rsidRPr="00E9792A">
        <w:rPr>
          <w:rFonts w:ascii="Arial" w:hAnsi="Arial" w:cs="Arial"/>
          <w:sz w:val="22"/>
          <w:szCs w:val="22"/>
        </w:rPr>
        <w:t>Zlecenia sprawdzenia układu pomiarowo-rozliczeniowego przez upoważnionego przedstawiciela OSD:</w:t>
      </w:r>
    </w:p>
    <w:p w:rsidR="00E9792A" w:rsidRDefault="00E9792A" w:rsidP="00E9792A">
      <w:pPr>
        <w:pStyle w:val="Akapitzlist"/>
        <w:numPr>
          <w:ilvl w:val="0"/>
          <w:numId w:val="12"/>
        </w:numPr>
        <w:jc w:val="both"/>
        <w:rPr>
          <w:rFonts w:ascii="Arial" w:hAnsi="Arial" w:cs="Arial"/>
          <w:sz w:val="22"/>
          <w:szCs w:val="22"/>
        </w:rPr>
      </w:pPr>
      <w:r w:rsidRPr="00E9792A">
        <w:rPr>
          <w:rFonts w:ascii="Arial" w:hAnsi="Arial" w:cs="Arial"/>
          <w:sz w:val="22"/>
          <w:szCs w:val="22"/>
        </w:rPr>
        <w:t>po zgłoszonej reklamacji,</w:t>
      </w:r>
    </w:p>
    <w:p w:rsidR="00E9792A" w:rsidRPr="00E9792A" w:rsidRDefault="00E9792A" w:rsidP="00E9792A">
      <w:pPr>
        <w:pStyle w:val="Akapitzlist"/>
        <w:numPr>
          <w:ilvl w:val="0"/>
          <w:numId w:val="12"/>
        </w:numPr>
        <w:jc w:val="both"/>
        <w:rPr>
          <w:rFonts w:ascii="Arial" w:hAnsi="Arial" w:cs="Arial"/>
          <w:sz w:val="22"/>
          <w:szCs w:val="22"/>
        </w:rPr>
      </w:pPr>
      <w:r w:rsidRPr="00E9792A">
        <w:rPr>
          <w:rFonts w:ascii="Arial" w:hAnsi="Arial" w:cs="Arial"/>
          <w:sz w:val="22"/>
          <w:szCs w:val="22"/>
        </w:rPr>
        <w:t>w celu kontroli parametrów metrologicznych układów.</w:t>
      </w:r>
    </w:p>
    <w:p w:rsidR="00E9792A" w:rsidRPr="00E9792A" w:rsidRDefault="00E9792A" w:rsidP="00E9792A">
      <w:pPr>
        <w:jc w:val="both"/>
        <w:rPr>
          <w:rFonts w:ascii="Arial" w:hAnsi="Arial" w:cs="Arial"/>
          <w:sz w:val="22"/>
          <w:szCs w:val="22"/>
        </w:rPr>
      </w:pPr>
    </w:p>
    <w:p w:rsidR="00E9792A" w:rsidRDefault="00E9792A" w:rsidP="00E9792A">
      <w:pPr>
        <w:jc w:val="center"/>
        <w:rPr>
          <w:rFonts w:ascii="Arial" w:hAnsi="Arial" w:cs="Arial"/>
          <w:b/>
          <w:bCs/>
          <w:sz w:val="22"/>
          <w:szCs w:val="22"/>
        </w:rPr>
      </w:pPr>
      <w:r w:rsidRPr="00E9792A">
        <w:rPr>
          <w:rFonts w:ascii="Arial" w:hAnsi="Arial" w:cs="Arial"/>
          <w:b/>
          <w:bCs/>
          <w:sz w:val="22"/>
          <w:szCs w:val="22"/>
        </w:rPr>
        <w:t>§ 7</w:t>
      </w:r>
    </w:p>
    <w:p w:rsidR="00E9792A" w:rsidRPr="00E9792A" w:rsidRDefault="00E9792A" w:rsidP="00E9792A">
      <w:pPr>
        <w:jc w:val="center"/>
        <w:rPr>
          <w:rFonts w:ascii="Arial" w:hAnsi="Arial" w:cs="Arial"/>
          <w:b/>
          <w:bCs/>
          <w:sz w:val="22"/>
          <w:szCs w:val="22"/>
        </w:rPr>
      </w:pPr>
    </w:p>
    <w:p w:rsidR="00E9792A" w:rsidRDefault="00E9792A" w:rsidP="00E9792A">
      <w:pPr>
        <w:jc w:val="both"/>
        <w:rPr>
          <w:rFonts w:ascii="Arial" w:hAnsi="Arial" w:cs="Arial"/>
          <w:sz w:val="22"/>
          <w:szCs w:val="22"/>
        </w:rPr>
      </w:pPr>
      <w:r w:rsidRPr="00E9792A">
        <w:rPr>
          <w:rFonts w:ascii="Arial" w:hAnsi="Arial" w:cs="Arial"/>
          <w:sz w:val="22"/>
          <w:szCs w:val="22"/>
        </w:rPr>
        <w:t>W CELU REALIZACJI UMOWY PRZEDSTAWICIELE OSD MAJĄ PRAWO DO:</w:t>
      </w:r>
    </w:p>
    <w:p w:rsidR="00E9792A" w:rsidRPr="00E9792A" w:rsidRDefault="00E9792A" w:rsidP="00E9792A">
      <w:pPr>
        <w:jc w:val="both"/>
        <w:rPr>
          <w:rFonts w:ascii="Arial" w:hAnsi="Arial" w:cs="Arial"/>
          <w:sz w:val="22"/>
          <w:szCs w:val="22"/>
        </w:rPr>
      </w:pPr>
    </w:p>
    <w:p w:rsidR="00E9792A" w:rsidRDefault="00E9792A" w:rsidP="00E9792A">
      <w:pPr>
        <w:pStyle w:val="Akapitzlist"/>
        <w:numPr>
          <w:ilvl w:val="0"/>
          <w:numId w:val="13"/>
        </w:numPr>
        <w:ind w:left="284" w:hanging="284"/>
        <w:jc w:val="both"/>
        <w:rPr>
          <w:rFonts w:ascii="Arial" w:hAnsi="Arial" w:cs="Arial"/>
          <w:sz w:val="22"/>
          <w:szCs w:val="22"/>
        </w:rPr>
      </w:pPr>
      <w:r w:rsidRPr="00E9792A">
        <w:rPr>
          <w:rFonts w:ascii="Arial" w:hAnsi="Arial" w:cs="Arial"/>
          <w:sz w:val="22"/>
          <w:szCs w:val="22"/>
        </w:rPr>
        <w:t>Wstępu na teren nieruchomości lub do pomieszczeń z układami pomiarowo-rozliczeniowymi, w celu przeprowadzenia odczytów układów pomiarowo-rozliczeniowych lub ich wymiany;</w:t>
      </w:r>
    </w:p>
    <w:p w:rsidR="00E9792A" w:rsidRDefault="00E9792A" w:rsidP="00E9792A">
      <w:pPr>
        <w:pStyle w:val="Akapitzlist"/>
        <w:numPr>
          <w:ilvl w:val="0"/>
          <w:numId w:val="13"/>
        </w:numPr>
        <w:ind w:left="284" w:hanging="284"/>
        <w:jc w:val="both"/>
        <w:rPr>
          <w:rFonts w:ascii="Arial" w:hAnsi="Arial" w:cs="Arial"/>
          <w:sz w:val="22"/>
          <w:szCs w:val="22"/>
        </w:rPr>
      </w:pPr>
      <w:r w:rsidRPr="00E9792A">
        <w:rPr>
          <w:rFonts w:ascii="Arial" w:hAnsi="Arial" w:cs="Arial"/>
          <w:sz w:val="22"/>
          <w:szCs w:val="22"/>
        </w:rPr>
        <w:t>Wstępu na teren nieruchomości lub do pomieszczeń z układami pomiarowo- rozliczeniowymi, po okazaniu legitymacji oraz pisemnego upoważnienia do przeprowadzenia kontroli w celu:</w:t>
      </w:r>
    </w:p>
    <w:p w:rsidR="00E9792A" w:rsidRDefault="00E9792A" w:rsidP="00E9792A">
      <w:pPr>
        <w:pStyle w:val="Akapitzlist"/>
        <w:numPr>
          <w:ilvl w:val="0"/>
          <w:numId w:val="14"/>
        </w:numPr>
        <w:jc w:val="both"/>
        <w:rPr>
          <w:rFonts w:ascii="Arial" w:hAnsi="Arial" w:cs="Arial"/>
          <w:sz w:val="22"/>
          <w:szCs w:val="22"/>
        </w:rPr>
      </w:pPr>
      <w:r w:rsidRPr="00E9792A">
        <w:rPr>
          <w:rFonts w:ascii="Arial" w:hAnsi="Arial" w:cs="Arial"/>
          <w:sz w:val="22"/>
          <w:szCs w:val="22"/>
        </w:rPr>
        <w:t>przeglądów urządzeń będących własnością OSD, a także prac związanych z ich eksploatacją lub naprawą oraz dokonywania badań i pomiarów.</w:t>
      </w:r>
    </w:p>
    <w:p w:rsidR="00E9792A" w:rsidRPr="00E9792A" w:rsidRDefault="00E9792A" w:rsidP="00E9792A">
      <w:pPr>
        <w:pStyle w:val="Akapitzlist"/>
        <w:numPr>
          <w:ilvl w:val="0"/>
          <w:numId w:val="14"/>
        </w:numPr>
        <w:jc w:val="both"/>
        <w:rPr>
          <w:rFonts w:ascii="Arial" w:hAnsi="Arial" w:cs="Arial"/>
          <w:sz w:val="22"/>
          <w:szCs w:val="22"/>
        </w:rPr>
      </w:pPr>
      <w:r w:rsidRPr="00E9792A">
        <w:rPr>
          <w:rFonts w:ascii="Arial" w:hAnsi="Arial" w:cs="Arial"/>
          <w:sz w:val="22"/>
          <w:szCs w:val="22"/>
        </w:rPr>
        <w:t>kontroli układów pomiarowo-rozliczeniowych, dotrzymywania zawartych umów i</w:t>
      </w:r>
      <w:r w:rsidR="00FB667C">
        <w:rPr>
          <w:rFonts w:ascii="Arial" w:hAnsi="Arial" w:cs="Arial"/>
          <w:sz w:val="22"/>
          <w:szCs w:val="22"/>
        </w:rPr>
        <w:t> </w:t>
      </w:r>
      <w:r w:rsidRPr="00E9792A">
        <w:rPr>
          <w:rFonts w:ascii="Arial" w:hAnsi="Arial" w:cs="Arial"/>
          <w:sz w:val="22"/>
          <w:szCs w:val="22"/>
        </w:rPr>
        <w:t>prawidłowości rozliczeń, w tym: zbierania i zabezpieczania dowodów naruszenia warunków używania układów pomiarowo-rozliczeniowych oraz warunków zawartej Umowy.</w:t>
      </w: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t>§ 8</w:t>
      </w:r>
    </w:p>
    <w:p w:rsidR="00E9792A" w:rsidRDefault="00E9792A" w:rsidP="00E9792A">
      <w:pPr>
        <w:jc w:val="both"/>
        <w:rPr>
          <w:rFonts w:ascii="Arial" w:hAnsi="Arial" w:cs="Arial"/>
          <w:sz w:val="22"/>
          <w:szCs w:val="22"/>
        </w:rPr>
      </w:pPr>
      <w:r w:rsidRPr="00E9792A">
        <w:rPr>
          <w:rFonts w:ascii="Arial" w:hAnsi="Arial" w:cs="Arial"/>
          <w:sz w:val="22"/>
          <w:szCs w:val="22"/>
        </w:rPr>
        <w:t>ODBIORCA ZOBOWIĄZANY JEST DO:</w:t>
      </w:r>
    </w:p>
    <w:p w:rsidR="00E9792A" w:rsidRPr="00E9792A" w:rsidRDefault="00E9792A" w:rsidP="00E9792A">
      <w:pPr>
        <w:jc w:val="both"/>
        <w:rPr>
          <w:rFonts w:ascii="Arial" w:hAnsi="Arial" w:cs="Arial"/>
          <w:sz w:val="22"/>
          <w:szCs w:val="22"/>
        </w:rPr>
      </w:pP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Terminowej zapłaty na rzecz Sprzedawcy opłat za zakupioną energię elektryczną i</w:t>
      </w:r>
      <w:r w:rsidR="00FB667C">
        <w:rPr>
          <w:rFonts w:ascii="Arial" w:hAnsi="Arial" w:cs="Arial"/>
          <w:sz w:val="22"/>
          <w:szCs w:val="22"/>
        </w:rPr>
        <w:t> </w:t>
      </w:r>
      <w:r w:rsidRPr="00E9792A">
        <w:rPr>
          <w:rFonts w:ascii="Arial" w:hAnsi="Arial" w:cs="Arial"/>
          <w:sz w:val="22"/>
          <w:szCs w:val="22"/>
        </w:rPr>
        <w:t xml:space="preserve">świadczenie usługi dystrybucji.  </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Wnoszenia opłat za dodatkowe usługi oraz czynności świadczone przez Sprzedawcę bądź OSD na zlecenie Odbiorcy lub wynikających z Taryfy lub Taryfy OSD.</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Pobierania mocy i energii elektrycznej zgodnie z warunkami Umowy, bez naruszania praw osób trzecich.</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Utrzymywania należącej do niego wewnętrznej instalacji zasilającej i odbiorczej w stanie technicznym zgodnym z wymaganiami określonymi w odrębnych przepisach.</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Utrzymywania użytkowanego obiektu w sposób nie utrudniający prawidłowego funkcjonowania sieci, a w szczególności do zachowania wymaganych odległości istniejących urządzeń, w szczególności od drzew, krzewów i obiektów budowlanych.</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Umożliwienia przedstawicielom OSD odczytania wskazań układów pomiarowo – rozliczeniowych.</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Umożliwiania przedstawicielom OSD dostępu (wraz z niezbędnym sprzętem) do swoich urządzeń energetycznych znajdujących się na terenie lub w obiekcie Odbiorcy w celu: usunięcia awarii w sieci, sprawdzenia stanu licznika, wykonania prac związanych z</w:t>
      </w:r>
      <w:r w:rsidR="00FB667C">
        <w:rPr>
          <w:rFonts w:ascii="Arial" w:hAnsi="Arial" w:cs="Arial"/>
          <w:sz w:val="22"/>
          <w:szCs w:val="22"/>
        </w:rPr>
        <w:t> </w:t>
      </w:r>
      <w:r w:rsidRPr="00E9792A">
        <w:rPr>
          <w:rFonts w:ascii="Arial" w:hAnsi="Arial" w:cs="Arial"/>
          <w:sz w:val="22"/>
          <w:szCs w:val="22"/>
        </w:rPr>
        <w:t xml:space="preserve">eksploatacją lub naprawą oraz demontażem licznika. </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Usunięcia przyczyny zakłóceń w Sieci dystrybucyjnej lub awarii wraz z poniesieniem kosztów, gdy awarię lub zakłócenia w sieci spowoduje instalacja Odbiorcy.</w:t>
      </w:r>
    </w:p>
    <w:p w:rsidR="00E9792A" w:rsidRDefault="00E9792A" w:rsidP="00E9792A">
      <w:pPr>
        <w:pStyle w:val="Akapitzlist"/>
        <w:numPr>
          <w:ilvl w:val="0"/>
          <w:numId w:val="15"/>
        </w:numPr>
        <w:ind w:left="709" w:hanging="709"/>
        <w:jc w:val="both"/>
        <w:rPr>
          <w:rFonts w:ascii="Arial" w:hAnsi="Arial" w:cs="Arial"/>
          <w:sz w:val="22"/>
          <w:szCs w:val="22"/>
        </w:rPr>
      </w:pPr>
      <w:r w:rsidRPr="00E9792A">
        <w:rPr>
          <w:rFonts w:ascii="Arial" w:hAnsi="Arial" w:cs="Arial"/>
          <w:sz w:val="22"/>
          <w:szCs w:val="22"/>
        </w:rPr>
        <w:lastRenderedPageBreak/>
        <w:t xml:space="preserve">Wymiany układu pomiarowo-rozliczeniowego, będącego własnością Odbiorcy, zgodnie z obowiązującymi przepisami. W przypadku odbiorców zaliczonych do grup przyłączeniowych II i III, a także VI (dla napięcia zasilania wyższego niż 1 </w:t>
      </w:r>
      <w:proofErr w:type="spellStart"/>
      <w:r w:rsidRPr="00E9792A">
        <w:rPr>
          <w:rFonts w:ascii="Arial" w:hAnsi="Arial" w:cs="Arial"/>
          <w:sz w:val="22"/>
          <w:szCs w:val="22"/>
        </w:rPr>
        <w:t>kV</w:t>
      </w:r>
      <w:proofErr w:type="spellEnd"/>
      <w:r w:rsidRPr="00E9792A">
        <w:rPr>
          <w:rFonts w:ascii="Arial" w:hAnsi="Arial" w:cs="Arial"/>
          <w:sz w:val="22"/>
          <w:szCs w:val="22"/>
        </w:rPr>
        <w:t>) oraz Wytwórców (niezależnie od wysokości napięcia zasilania) podstawowe i rezerwowe układy pomiarowo – rozliczeniowe określone przez OSD nabywa, instaluje, wymienia, konserwuje i zgłasza do legalizacji, badania laboratoryjnego lub ekspertyzy własnym kosztem i staraniem Odbiorca. Odbiorca dostarcza zastępczy układ pomiarowo-rozliczeniowy na czas trwania legalizacji, laboratoryjnego sprawdzenia lub ekspertyzy.</w:t>
      </w:r>
    </w:p>
    <w:p w:rsidR="00E9792A" w:rsidRDefault="00E9792A" w:rsidP="00E9792A">
      <w:pPr>
        <w:pStyle w:val="Akapitzlist"/>
        <w:numPr>
          <w:ilvl w:val="0"/>
          <w:numId w:val="15"/>
        </w:numPr>
        <w:ind w:left="284" w:hanging="284"/>
        <w:jc w:val="both"/>
        <w:rPr>
          <w:rFonts w:ascii="Arial" w:hAnsi="Arial" w:cs="Arial"/>
          <w:sz w:val="22"/>
          <w:szCs w:val="22"/>
        </w:rPr>
      </w:pPr>
      <w:r w:rsidRPr="00E9792A">
        <w:rPr>
          <w:rFonts w:ascii="Arial" w:hAnsi="Arial" w:cs="Arial"/>
          <w:sz w:val="22"/>
          <w:szCs w:val="22"/>
        </w:rPr>
        <w:t>Umożliwienia wymiany układu pomiarowo-rozliczeniowego będącego własnością OSD.</w:t>
      </w:r>
    </w:p>
    <w:p w:rsidR="00E9792A" w:rsidRDefault="00E9792A" w:rsidP="00E9792A">
      <w:pPr>
        <w:pStyle w:val="Akapitzlist"/>
        <w:numPr>
          <w:ilvl w:val="0"/>
          <w:numId w:val="15"/>
        </w:numPr>
        <w:ind w:left="709" w:hanging="709"/>
        <w:jc w:val="both"/>
        <w:rPr>
          <w:rFonts w:ascii="Arial" w:hAnsi="Arial" w:cs="Arial"/>
          <w:sz w:val="22"/>
          <w:szCs w:val="22"/>
        </w:rPr>
      </w:pPr>
      <w:r w:rsidRPr="00E9792A">
        <w:rPr>
          <w:rFonts w:ascii="Arial" w:hAnsi="Arial" w:cs="Arial"/>
          <w:sz w:val="22"/>
          <w:szCs w:val="22"/>
        </w:rPr>
        <w:t>Prawidłowej eksploatacji własnych instalacji (urządzeń) i niewprowadzania do zasilającej</w:t>
      </w:r>
      <w:r>
        <w:rPr>
          <w:rFonts w:ascii="Arial" w:hAnsi="Arial" w:cs="Arial"/>
          <w:sz w:val="22"/>
          <w:szCs w:val="22"/>
        </w:rPr>
        <w:t xml:space="preserve"> </w:t>
      </w:r>
      <w:r w:rsidRPr="00E9792A">
        <w:rPr>
          <w:rFonts w:ascii="Arial" w:hAnsi="Arial" w:cs="Arial"/>
          <w:sz w:val="22"/>
          <w:szCs w:val="22"/>
        </w:rPr>
        <w:t>sieci dystrybucyjnej zakłóceń definiowanych jako: przepięcia, migotania, zapady napięcia oraz wyższe harmoniczne, powodujące odkształcenia napięcia w punktach odbioru energii elektrycznej.</w:t>
      </w:r>
    </w:p>
    <w:p w:rsidR="00E9792A" w:rsidRDefault="00E9792A" w:rsidP="00E9792A">
      <w:pPr>
        <w:pStyle w:val="Akapitzlist"/>
        <w:numPr>
          <w:ilvl w:val="0"/>
          <w:numId w:val="15"/>
        </w:numPr>
        <w:ind w:left="709" w:hanging="709"/>
        <w:jc w:val="both"/>
        <w:rPr>
          <w:rFonts w:ascii="Arial" w:hAnsi="Arial" w:cs="Arial"/>
          <w:sz w:val="22"/>
          <w:szCs w:val="22"/>
        </w:rPr>
      </w:pPr>
      <w:r w:rsidRPr="00E9792A">
        <w:rPr>
          <w:rFonts w:ascii="Arial" w:hAnsi="Arial" w:cs="Arial"/>
          <w:sz w:val="22"/>
          <w:szCs w:val="22"/>
        </w:rPr>
        <w:t>Poniesienia kosztów sprawdzenia prawidłowości działania układu pomiarowo-rozliczeniowego reklamowanego przez Odbiorcę w przypadku, gdy w wyniku sprawdzenia prawidłowości działania tego układu oraz badania laboratoryjnego stwierdzono, że wskazania nie przekraczają dopuszczalnych, określonych przez przepisy metrologiczne, granicznych wielkości tolerancji pomiaru.</w:t>
      </w:r>
    </w:p>
    <w:p w:rsidR="00E9792A" w:rsidRDefault="00E9792A" w:rsidP="00E9792A">
      <w:pPr>
        <w:pStyle w:val="Akapitzlist"/>
        <w:numPr>
          <w:ilvl w:val="0"/>
          <w:numId w:val="15"/>
        </w:numPr>
        <w:ind w:left="709" w:hanging="709"/>
        <w:jc w:val="both"/>
        <w:rPr>
          <w:rFonts w:ascii="Arial" w:hAnsi="Arial" w:cs="Arial"/>
          <w:sz w:val="22"/>
          <w:szCs w:val="22"/>
        </w:rPr>
      </w:pPr>
      <w:r w:rsidRPr="00E9792A">
        <w:rPr>
          <w:rFonts w:ascii="Arial" w:hAnsi="Arial" w:cs="Arial"/>
          <w:sz w:val="22"/>
          <w:szCs w:val="22"/>
        </w:rPr>
        <w:t>Niezwłocznego poinformowania Sprzedawcy lub OSD o zauważonych wadach lub usterkach w układzie pomiarowo-rozliczeniowym i o innych okolicznościach, mających wpływ na możliwość niewłaściwego rozliczania za sprzedaną energię elektryczną i</w:t>
      </w:r>
      <w:r w:rsidR="00FB667C">
        <w:rPr>
          <w:rFonts w:ascii="Arial" w:hAnsi="Arial" w:cs="Arial"/>
          <w:sz w:val="22"/>
          <w:szCs w:val="22"/>
        </w:rPr>
        <w:t> </w:t>
      </w:r>
      <w:r w:rsidRPr="00E9792A">
        <w:rPr>
          <w:rFonts w:ascii="Arial" w:hAnsi="Arial" w:cs="Arial"/>
          <w:sz w:val="22"/>
          <w:szCs w:val="22"/>
        </w:rPr>
        <w:t>świadczone usługi dystrybucji.</w:t>
      </w:r>
    </w:p>
    <w:p w:rsidR="00E9792A" w:rsidRDefault="00E9792A" w:rsidP="00E9792A">
      <w:pPr>
        <w:pStyle w:val="Akapitzlist"/>
        <w:numPr>
          <w:ilvl w:val="0"/>
          <w:numId w:val="15"/>
        </w:numPr>
        <w:ind w:left="709" w:hanging="709"/>
        <w:jc w:val="both"/>
        <w:rPr>
          <w:rFonts w:ascii="Arial" w:hAnsi="Arial" w:cs="Arial"/>
          <w:sz w:val="22"/>
          <w:szCs w:val="22"/>
        </w:rPr>
      </w:pPr>
      <w:r w:rsidRPr="00E9792A">
        <w:rPr>
          <w:rFonts w:ascii="Arial" w:hAnsi="Arial" w:cs="Arial"/>
          <w:sz w:val="22"/>
          <w:szCs w:val="22"/>
        </w:rPr>
        <w:t>Powierzania budowy lub dokonywania zmian w instalacji elektrycznej osobom posiadającym odpowiednie uprawnienia i kwalifikacje.</w:t>
      </w:r>
    </w:p>
    <w:p w:rsidR="00E9792A" w:rsidRDefault="00E9792A" w:rsidP="00E9792A">
      <w:pPr>
        <w:pStyle w:val="Akapitzlist"/>
        <w:numPr>
          <w:ilvl w:val="0"/>
          <w:numId w:val="15"/>
        </w:numPr>
        <w:ind w:left="709" w:hanging="709"/>
        <w:jc w:val="both"/>
        <w:rPr>
          <w:rFonts w:ascii="Arial" w:hAnsi="Arial" w:cs="Arial"/>
          <w:sz w:val="22"/>
          <w:szCs w:val="22"/>
        </w:rPr>
      </w:pPr>
      <w:r w:rsidRPr="00E9792A">
        <w:rPr>
          <w:rFonts w:ascii="Arial" w:hAnsi="Arial" w:cs="Arial"/>
          <w:sz w:val="22"/>
          <w:szCs w:val="22"/>
        </w:rPr>
        <w:t>Zabezpieczenia przed uszkodzeniem lub kradzieżą układu pomiarowo-rozliczeniowego w tym nałożonych plomb oraz w przypadku, gdy układ ten stanowi własność OSD, zwrotu kosztów poniesionych przez OSD, związanych z zakupem i zainstalowaniem układu pomiarowo-rozliczeniowego w przypadku jego utraty, zniszczenia lub uszkodzenia. W przypadku utraty, zniszczenia lub uszkodzenia układu pomiarowo-rozliczeniowego lub systemu pomiarowo-rozliczeniowego, Odbiorca ponosi koszty zakupu i zainstalowania tego układu wg kalkulacji kosztów OSD. Wg kalkulacji kosztów OSD, Odbiorca ponosi również koszty zerwania lub uszkodzenia plomb.</w:t>
      </w:r>
    </w:p>
    <w:p w:rsidR="00E9792A" w:rsidRPr="00E9792A" w:rsidRDefault="00E9792A" w:rsidP="00E9792A">
      <w:pPr>
        <w:pStyle w:val="Akapitzlist"/>
        <w:numPr>
          <w:ilvl w:val="0"/>
          <w:numId w:val="15"/>
        </w:numPr>
        <w:ind w:left="709" w:hanging="709"/>
        <w:jc w:val="both"/>
        <w:rPr>
          <w:rFonts w:ascii="Arial" w:hAnsi="Arial" w:cs="Arial"/>
          <w:sz w:val="22"/>
          <w:szCs w:val="22"/>
        </w:rPr>
      </w:pPr>
      <w:r w:rsidRPr="00E9792A">
        <w:rPr>
          <w:rFonts w:ascii="Arial" w:hAnsi="Arial" w:cs="Arial"/>
          <w:sz w:val="22"/>
          <w:szCs w:val="22"/>
        </w:rPr>
        <w:t>Pisemnego zgłoszenia zmiany adresu korespondencyjnego. Brak zgłoszenia upoważnia Sprzedawcę do uznania korespondencji za doręczoną pod ostatnio skutecznie zgłoszony adres korespondencyjny Odbiorcy.</w:t>
      </w:r>
    </w:p>
    <w:p w:rsidR="00E9792A" w:rsidRPr="00E9792A" w:rsidRDefault="00E9792A" w:rsidP="00E9792A">
      <w:pPr>
        <w:jc w:val="both"/>
        <w:rPr>
          <w:rFonts w:ascii="Arial" w:hAnsi="Arial" w:cs="Arial"/>
          <w:sz w:val="22"/>
          <w:szCs w:val="22"/>
        </w:rPr>
      </w:pPr>
    </w:p>
    <w:p w:rsidR="00E9792A" w:rsidRDefault="00E9792A" w:rsidP="00E9792A">
      <w:pPr>
        <w:jc w:val="center"/>
        <w:rPr>
          <w:rFonts w:ascii="Arial" w:hAnsi="Arial" w:cs="Arial"/>
          <w:sz w:val="22"/>
          <w:szCs w:val="22"/>
        </w:rPr>
      </w:pPr>
      <w:r w:rsidRPr="00E9792A">
        <w:rPr>
          <w:rFonts w:ascii="Arial" w:hAnsi="Arial" w:cs="Arial"/>
          <w:sz w:val="22"/>
          <w:szCs w:val="22"/>
        </w:rPr>
        <w:t>ROZDZIAŁ 3</w:t>
      </w:r>
    </w:p>
    <w:p w:rsidR="00E9792A" w:rsidRPr="00E9792A" w:rsidRDefault="00E9792A" w:rsidP="00E9792A">
      <w:pPr>
        <w:jc w:val="center"/>
        <w:rPr>
          <w:rFonts w:ascii="Arial" w:hAnsi="Arial" w:cs="Arial"/>
          <w:sz w:val="22"/>
          <w:szCs w:val="22"/>
        </w:rPr>
      </w:pPr>
    </w:p>
    <w:p w:rsidR="00E9792A" w:rsidRDefault="00E9792A" w:rsidP="00E9792A">
      <w:pPr>
        <w:jc w:val="center"/>
        <w:rPr>
          <w:rFonts w:ascii="Arial" w:hAnsi="Arial" w:cs="Arial"/>
          <w:sz w:val="22"/>
          <w:szCs w:val="22"/>
        </w:rPr>
      </w:pPr>
      <w:r w:rsidRPr="00E9792A">
        <w:rPr>
          <w:rFonts w:ascii="Arial" w:hAnsi="Arial" w:cs="Arial"/>
          <w:sz w:val="22"/>
          <w:szCs w:val="22"/>
        </w:rPr>
        <w:t>ROZLICZENIA STRON</w:t>
      </w:r>
    </w:p>
    <w:p w:rsidR="00E9792A" w:rsidRPr="00E9792A" w:rsidRDefault="00E9792A" w:rsidP="00E9792A">
      <w:pPr>
        <w:jc w:val="center"/>
        <w:rPr>
          <w:rFonts w:ascii="Arial" w:hAnsi="Arial" w:cs="Arial"/>
          <w:sz w:val="22"/>
          <w:szCs w:val="22"/>
        </w:rPr>
      </w:pPr>
    </w:p>
    <w:p w:rsidR="00E9792A" w:rsidRPr="00E9792A" w:rsidRDefault="00E9792A" w:rsidP="00E9792A">
      <w:pPr>
        <w:jc w:val="center"/>
        <w:rPr>
          <w:rFonts w:ascii="Arial" w:hAnsi="Arial" w:cs="Arial"/>
          <w:b/>
          <w:bCs/>
          <w:sz w:val="22"/>
          <w:szCs w:val="22"/>
        </w:rPr>
      </w:pPr>
      <w:r w:rsidRPr="00E9792A">
        <w:rPr>
          <w:rFonts w:ascii="Arial" w:hAnsi="Arial" w:cs="Arial"/>
          <w:b/>
          <w:bCs/>
          <w:sz w:val="22"/>
          <w:szCs w:val="22"/>
        </w:rPr>
        <w:t>§ 9</w:t>
      </w:r>
    </w:p>
    <w:p w:rsidR="00E9792A" w:rsidRDefault="00E9792A" w:rsidP="00E9792A">
      <w:pPr>
        <w:pStyle w:val="Akapitzlist"/>
        <w:numPr>
          <w:ilvl w:val="0"/>
          <w:numId w:val="16"/>
        </w:numPr>
        <w:ind w:left="426" w:hanging="578"/>
        <w:jc w:val="both"/>
        <w:rPr>
          <w:rFonts w:ascii="Arial" w:hAnsi="Arial" w:cs="Arial"/>
          <w:sz w:val="22"/>
          <w:szCs w:val="22"/>
        </w:rPr>
      </w:pPr>
      <w:r w:rsidRPr="00E9792A">
        <w:rPr>
          <w:rFonts w:ascii="Arial" w:hAnsi="Arial" w:cs="Arial"/>
          <w:sz w:val="22"/>
          <w:szCs w:val="22"/>
        </w:rPr>
        <w:t>Rozliczenia za sprzedaną energię elektryczną i świadczone usługi dystrybucji, z</w:t>
      </w:r>
      <w:r w:rsidR="00FB667C">
        <w:rPr>
          <w:rFonts w:ascii="Arial" w:hAnsi="Arial" w:cs="Arial"/>
          <w:sz w:val="22"/>
          <w:szCs w:val="22"/>
        </w:rPr>
        <w:t> </w:t>
      </w:r>
      <w:r w:rsidRPr="00E9792A">
        <w:rPr>
          <w:rFonts w:ascii="Arial" w:hAnsi="Arial" w:cs="Arial"/>
          <w:sz w:val="22"/>
          <w:szCs w:val="22"/>
        </w:rPr>
        <w:t>wyłączeniem ryczałtowej grupy taryfowej, dokonywane są na podstawie wskazań układów pomiarowo-rozliczeniowych dla poszczególnych PPE określonych w Umowie.</w:t>
      </w:r>
    </w:p>
    <w:p w:rsidR="00E9792A" w:rsidRDefault="00E9792A" w:rsidP="00E9792A">
      <w:pPr>
        <w:pStyle w:val="Akapitzlist"/>
        <w:numPr>
          <w:ilvl w:val="0"/>
          <w:numId w:val="16"/>
        </w:numPr>
        <w:ind w:left="426" w:hanging="578"/>
        <w:jc w:val="both"/>
        <w:rPr>
          <w:rFonts w:ascii="Arial" w:hAnsi="Arial" w:cs="Arial"/>
          <w:sz w:val="22"/>
          <w:szCs w:val="22"/>
        </w:rPr>
      </w:pPr>
      <w:r w:rsidRPr="00E9792A">
        <w:rPr>
          <w:rFonts w:ascii="Arial" w:hAnsi="Arial" w:cs="Arial"/>
          <w:sz w:val="22"/>
          <w:szCs w:val="22"/>
        </w:rPr>
        <w:t>Za realizację przedmiotu umowy, Wykonawcy przysługuje wynagrodzenie według cen jednostkowych, ustalonych na podstawie oferty Wykonawcy, które za dostawę energii elektrycznej oraz zapewnienie świadczenia usług dystrybucji energii elektrycznej w okresie 36 miesięcy wynosi:</w:t>
      </w:r>
    </w:p>
    <w:p w:rsidR="00E9792A" w:rsidRDefault="00E9792A" w:rsidP="00E9792A">
      <w:pPr>
        <w:pStyle w:val="Akapitzlist"/>
        <w:ind w:left="426"/>
        <w:jc w:val="both"/>
        <w:rPr>
          <w:rFonts w:ascii="Arial" w:hAnsi="Arial" w:cs="Arial"/>
          <w:sz w:val="22"/>
          <w:szCs w:val="22"/>
        </w:rPr>
      </w:pPr>
    </w:p>
    <w:p w:rsidR="00E9792A" w:rsidRDefault="00E9792A" w:rsidP="00E9792A">
      <w:pPr>
        <w:pStyle w:val="Akapitzlist"/>
        <w:numPr>
          <w:ilvl w:val="0"/>
          <w:numId w:val="17"/>
        </w:numPr>
        <w:jc w:val="both"/>
        <w:rPr>
          <w:rFonts w:ascii="Arial" w:hAnsi="Arial" w:cs="Arial"/>
          <w:sz w:val="22"/>
          <w:szCs w:val="22"/>
        </w:rPr>
      </w:pPr>
      <w:r w:rsidRPr="00E9792A">
        <w:rPr>
          <w:rFonts w:ascii="Arial" w:hAnsi="Arial" w:cs="Arial"/>
          <w:sz w:val="22"/>
          <w:szCs w:val="22"/>
        </w:rPr>
        <w:t>cena netto ………………… zł (słownie złotych: ……………………………)</w:t>
      </w:r>
    </w:p>
    <w:p w:rsidR="00E9792A" w:rsidRDefault="00E9792A" w:rsidP="00E9792A">
      <w:pPr>
        <w:pStyle w:val="Akapitzlist"/>
        <w:numPr>
          <w:ilvl w:val="0"/>
          <w:numId w:val="17"/>
        </w:numPr>
        <w:jc w:val="both"/>
        <w:rPr>
          <w:rFonts w:ascii="Arial" w:hAnsi="Arial" w:cs="Arial"/>
          <w:sz w:val="22"/>
          <w:szCs w:val="22"/>
        </w:rPr>
      </w:pPr>
      <w:r w:rsidRPr="00E9792A">
        <w:rPr>
          <w:rFonts w:ascii="Arial" w:hAnsi="Arial" w:cs="Arial"/>
          <w:sz w:val="22"/>
          <w:szCs w:val="22"/>
        </w:rPr>
        <w:t>stawka podatku VAT: ……% / wartość podatku VAT ……………………zł</w:t>
      </w:r>
    </w:p>
    <w:p w:rsidR="00E9792A" w:rsidRDefault="00E9792A" w:rsidP="00E9792A">
      <w:pPr>
        <w:pStyle w:val="Akapitzlist"/>
        <w:numPr>
          <w:ilvl w:val="0"/>
          <w:numId w:val="17"/>
        </w:numPr>
        <w:jc w:val="both"/>
        <w:rPr>
          <w:rFonts w:ascii="Arial" w:hAnsi="Arial" w:cs="Arial"/>
          <w:sz w:val="22"/>
          <w:szCs w:val="22"/>
        </w:rPr>
      </w:pPr>
      <w:r w:rsidRPr="00E9792A">
        <w:rPr>
          <w:rFonts w:ascii="Arial" w:hAnsi="Arial" w:cs="Arial"/>
          <w:sz w:val="22"/>
          <w:szCs w:val="22"/>
        </w:rPr>
        <w:t xml:space="preserve">cena brutto: …………………zł (słownie </w:t>
      </w:r>
      <w:proofErr w:type="gramStart"/>
      <w:r w:rsidRPr="00E9792A">
        <w:rPr>
          <w:rFonts w:ascii="Arial" w:hAnsi="Arial" w:cs="Arial"/>
          <w:sz w:val="22"/>
          <w:szCs w:val="22"/>
        </w:rPr>
        <w:t>złotych:…</w:t>
      </w:r>
      <w:proofErr w:type="gramEnd"/>
      <w:r w:rsidRPr="00E9792A">
        <w:rPr>
          <w:rFonts w:ascii="Arial" w:hAnsi="Arial" w:cs="Arial"/>
          <w:sz w:val="22"/>
          <w:szCs w:val="22"/>
        </w:rPr>
        <w:t>……………)</w:t>
      </w:r>
    </w:p>
    <w:p w:rsidR="00E9792A" w:rsidRDefault="00E9792A" w:rsidP="00E9792A">
      <w:pPr>
        <w:pStyle w:val="Akapitzlist"/>
        <w:ind w:left="1146"/>
        <w:jc w:val="both"/>
        <w:rPr>
          <w:rFonts w:ascii="Arial" w:hAnsi="Arial" w:cs="Arial"/>
          <w:sz w:val="22"/>
          <w:szCs w:val="22"/>
        </w:rPr>
      </w:pPr>
    </w:p>
    <w:p w:rsidR="00FB667C" w:rsidRDefault="00FB667C" w:rsidP="00E9792A">
      <w:pPr>
        <w:pStyle w:val="Akapitzlist"/>
        <w:ind w:left="1146"/>
        <w:jc w:val="both"/>
        <w:rPr>
          <w:rFonts w:ascii="Arial" w:hAnsi="Arial" w:cs="Arial"/>
          <w:sz w:val="22"/>
          <w:szCs w:val="22"/>
        </w:rPr>
      </w:pPr>
    </w:p>
    <w:p w:rsidR="00FB667C" w:rsidRDefault="00FB667C" w:rsidP="00E9792A">
      <w:pPr>
        <w:pStyle w:val="Akapitzlist"/>
        <w:ind w:left="1146"/>
        <w:jc w:val="both"/>
        <w:rPr>
          <w:rFonts w:ascii="Arial" w:hAnsi="Arial" w:cs="Arial"/>
          <w:sz w:val="22"/>
          <w:szCs w:val="22"/>
        </w:rPr>
      </w:pPr>
    </w:p>
    <w:p w:rsidR="00FB667C" w:rsidRDefault="00FB667C" w:rsidP="00E9792A">
      <w:pPr>
        <w:pStyle w:val="Akapitzlist"/>
        <w:ind w:left="1146"/>
        <w:jc w:val="both"/>
        <w:rPr>
          <w:rFonts w:ascii="Arial" w:hAnsi="Arial" w:cs="Arial"/>
          <w:sz w:val="22"/>
          <w:szCs w:val="22"/>
        </w:rPr>
      </w:pP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lastRenderedPageBreak/>
        <w:t>Rozliczenia za sprzedaną energie elektryczną i świadczenie usług dystrybucji przeprowadza się zgodnie z zawartą Umową oraz Taryfa OSD. Cena energii elektrycznej oraz stawka opłaty handlowej określona przez Wykonawcę, nie ulegnie zmianie przez cały okres obowiązywania umowy. W przypadku ustawowej zmiany opodatkowania energii elektrycznej podatkiem VAT, akcyzowym lub ogólnie obowiązujących przepisów prawa, a w szczególności zmiany ustawy prawo energetyczne lub aktów wykonawczych do tej ustawy wprowadzających dodatkowe obowiązki związane z zakupem praw majątkowych lub certyfikatów dotyczących efektywności energetycznej, ceny energii elektrycznej zostaną powiększone o kwotę wynikającą z obowiązków nałożonych właściwymi przepisami, od dnia wejścia w życie. W przypadku zmiany Taryfy OSD stawki opłat automatycznie ulegają zmianie od dnia ich wejścia w życie bez konieczności sporządzania aneksu.</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W przypadku braku dostępu do układu pomiarowo-rozliczeniowego, bądź niemożności dokonania odczytu przez OSD, ilość energii w danym okresie rozliczeniowym może być wyznaczana szacunkowo, na podstawie średniego dobowego zużycia energii elektrycznej z analogicznego okresu rozliczeniowego roku poprzedniego lub z ostatniego okresu rozliczeniowego.</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Należności wynikające z faktur VAT bądź faktur VAT korekta będą płatne w terminie 21 dni od daty wystawienia.</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Za dzień zapłaty uznaje się datę uznania rachunku bankowego Wykonawcy.</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Reklamacje Odbiorcy nie zwalniają od obowiązku płatności należności.</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 xml:space="preserve">Zasady zamawiania oraz określania opłat za moc umowną określa Taryfa OSD. </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 xml:space="preserve">Odbiorca jest obowiązany zgłosić Sprzedawcy na piśmie, oddzielnie dla każdego miejsca dostarczania, wielkość mocy umownej na kolejny rok kalendarzowy najpóźniej do dnia 31 października roku poprzedzającego zmianę. Warunki zmiany mocy umownej określa OSD. </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Wielkość mocy umownej nie może być większa od mocy przyłączeniowej określonej dla danego miejsca dostarczania / przyłącza jak również nie może być mniejsza od mocy wymaganej ze względu na własności metrologiczne zainstalowanych w układzie pomiarowo rozliczeniowym przekładników prądowych i liczników energii elektrycznej, z</w:t>
      </w:r>
      <w:r w:rsidR="00FB667C">
        <w:rPr>
          <w:rFonts w:ascii="Arial" w:hAnsi="Arial" w:cs="Arial"/>
          <w:sz w:val="22"/>
          <w:szCs w:val="22"/>
        </w:rPr>
        <w:t> </w:t>
      </w:r>
      <w:r w:rsidRPr="00E9792A">
        <w:rPr>
          <w:rFonts w:ascii="Arial" w:hAnsi="Arial" w:cs="Arial"/>
          <w:sz w:val="22"/>
          <w:szCs w:val="22"/>
        </w:rPr>
        <w:t>uwzględnieniem charakterystyki poboru mocy przez Odbiorcę.</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Moc umowna zamawiana jest przez Odbiorcę w jednakowej wysokości na wszystkie miesiące roku lub w sposób wynikający z Taryfy OSD. W przypadku braku zamówienia mocy umownej przyjmuje się wielkość mocy umownej z ostatniego miesiąca roku poprzedniego.</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Wybrana przez Odbiorcę grupa taryfowa w zakresie liczby rozliczeniowych stref czasowych obowiązuje co najmniej dwanaście miesięcy. Zmiana liczby stref czasowych wymaga pisemnego wystąpienia Odbiorcy z jednomiesięcznym wyprzedzeniem i może być przyjęta do rozliczeń od dnia dostosowania układu pomiarowo-rozliczeniowego.</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Zmiana mocy umownej i/lub grupy taryfowej, może być związana z koniecznością dostosowania kosztem Odbiorcy, na warunkach określonych przez OSD, urządzeń elektroenergetycznych (w tym układu pomiarowo-rozliczeniowego dla grup przyłączeniowych II i III) do nowych warunków dostarczania energii elektrycznej lub realizacji nowych warunków przyłączenia, oraz może się wiązać z koniecznością zawarcia nowej umowy kompleksowej.</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Wszelkie prace przy urządzeniach pomiarowych, związane ze zdjęciem plomb nałożonych przez OSD na układ pomiarowo-rozliczeniowy, mogą być wykonywane wyłącznie na</w:t>
      </w:r>
      <w:r w:rsidR="00FB667C">
        <w:rPr>
          <w:rFonts w:ascii="Arial" w:hAnsi="Arial" w:cs="Arial"/>
          <w:sz w:val="22"/>
          <w:szCs w:val="22"/>
        </w:rPr>
        <w:t> </w:t>
      </w:r>
      <w:r w:rsidRPr="00E9792A">
        <w:rPr>
          <w:rFonts w:ascii="Arial" w:hAnsi="Arial" w:cs="Arial"/>
          <w:sz w:val="22"/>
          <w:szCs w:val="22"/>
        </w:rPr>
        <w:t>warunkach uzgodnionych z OSD bądź w obecności upoważnionych przedstawicieli OSD.</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W rozliczeniach z odbiorcami zasilanymi poprzez własne transformatory z układem pomiarowo-rozliczeniowym zainstalowanym po stronie wtórnej transformatora, wielkość pobranej mocy i energii elektrycznej powiększa się o wielkości strat mocy i energii w transformatorach. Straty mocy czynnej przyjmuje się w wysokości 3% mocy wykazanej przez urządzenia pomiarowe. Straty energii czynnej przyjmuje się w wysokości 3% ilości kilowatogodzin, a straty energii biernej w wysokości 10% ilości kilowatogodzin wykazanych przez układ pomiarowo-rozliczeniowy, o ile układ ten nie jest wyposażony w urządzenia do</w:t>
      </w:r>
      <w:r w:rsidR="00FB667C">
        <w:rPr>
          <w:rFonts w:ascii="Arial" w:hAnsi="Arial" w:cs="Arial"/>
          <w:sz w:val="22"/>
          <w:szCs w:val="22"/>
        </w:rPr>
        <w:t> </w:t>
      </w:r>
      <w:r w:rsidRPr="00E9792A">
        <w:rPr>
          <w:rFonts w:ascii="Arial" w:hAnsi="Arial" w:cs="Arial"/>
          <w:sz w:val="22"/>
          <w:szCs w:val="22"/>
        </w:rPr>
        <w:t xml:space="preserve">pomiaru wielkości strat, sprawdzone i zaplombowane przez OSD. </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 xml:space="preserve">W rozliczeniach z odbiorcami zasilanymi poprzez transformatory będące własnością OSD, pomiarów poboru mocy i zużycia energii dokonuje się po stronie wtórnej transformatora. </w:t>
      </w:r>
      <w:r w:rsidRPr="00E9792A">
        <w:rPr>
          <w:rFonts w:ascii="Arial" w:hAnsi="Arial" w:cs="Arial"/>
          <w:sz w:val="22"/>
          <w:szCs w:val="22"/>
        </w:rPr>
        <w:lastRenderedPageBreak/>
        <w:t>Jeżeli strony Umowy uzgodnią zainstalowanie układu pomiarowo-rozliczeniowego po stronie pierwotnej transformatora straty w transformacji, wyszczególnione w ust. 14, należy odpowiednio odejmować.</w:t>
      </w:r>
    </w:p>
    <w:p w:rsidR="006B1616" w:rsidRPr="006B1616" w:rsidRDefault="006B1616" w:rsidP="006B1616">
      <w:pPr>
        <w:jc w:val="both"/>
        <w:rPr>
          <w:rFonts w:ascii="Arial" w:hAnsi="Arial" w:cs="Arial"/>
          <w:sz w:val="22"/>
          <w:szCs w:val="22"/>
        </w:rPr>
      </w:pP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W rozliczeniach z odbiorcami zasilanymi liniami kablowymi lub napowietrznymi niebędącymi własnością OSD, w przypadku, gdy układ pomiarowo-rozliczeniowy nie rejestruje strat energii występujących w tych liniach, odczyty wskazań układu pomiarowo-rozliczeniowego powiększa się o straty energii elektrycznej w liniach. Straty energii elektrycznej oblicza się ze wskazań urządzeń do ich pomiaru, sprawdzonych i</w:t>
      </w:r>
      <w:r w:rsidR="00FB667C">
        <w:rPr>
          <w:rFonts w:ascii="Arial" w:hAnsi="Arial" w:cs="Arial"/>
          <w:sz w:val="22"/>
          <w:szCs w:val="22"/>
        </w:rPr>
        <w:t> </w:t>
      </w:r>
      <w:r w:rsidRPr="00E9792A">
        <w:rPr>
          <w:rFonts w:ascii="Arial" w:hAnsi="Arial" w:cs="Arial"/>
          <w:sz w:val="22"/>
          <w:szCs w:val="22"/>
        </w:rPr>
        <w:t>zaplombowanych przez OSD. W przypadku braku urządzeń do pomiaru strat, ilość pobranej przez Odbiorcę energii czynnej na pokrycie strat określa się w Umowie w zależności od rodzaju, długości, przekroju i obciążenia linii.</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W przypadku gdy układ pomiarowo-rozliczeniowy, zainstalowany w innym miejscu niż miejsce dostarczania energii, rejestruje straty energii występujące w liniach będących własnością OSD, to odczyty wskazań układu pomiarowo-rozliczeniowego pomniejsza się</w:t>
      </w:r>
      <w:r w:rsidR="00FB667C">
        <w:rPr>
          <w:rFonts w:ascii="Arial" w:hAnsi="Arial" w:cs="Arial"/>
          <w:sz w:val="22"/>
          <w:szCs w:val="22"/>
        </w:rPr>
        <w:t> </w:t>
      </w:r>
      <w:r w:rsidRPr="00E9792A">
        <w:rPr>
          <w:rFonts w:ascii="Arial" w:hAnsi="Arial" w:cs="Arial"/>
          <w:sz w:val="22"/>
          <w:szCs w:val="22"/>
        </w:rPr>
        <w:t xml:space="preserve">na zasadach określonych w ust. 16 powyżej. </w:t>
      </w:r>
    </w:p>
    <w:p w:rsidR="00E9792A" w:rsidRDefault="00E9792A" w:rsidP="00E9792A">
      <w:pPr>
        <w:pStyle w:val="Akapitzlist"/>
        <w:numPr>
          <w:ilvl w:val="0"/>
          <w:numId w:val="16"/>
        </w:numPr>
        <w:ind w:left="426" w:hanging="568"/>
        <w:jc w:val="both"/>
        <w:rPr>
          <w:rFonts w:ascii="Arial" w:hAnsi="Arial" w:cs="Arial"/>
          <w:sz w:val="22"/>
          <w:szCs w:val="22"/>
        </w:rPr>
      </w:pPr>
      <w:r w:rsidRPr="00E9792A">
        <w:rPr>
          <w:rFonts w:ascii="Arial" w:hAnsi="Arial" w:cs="Arial"/>
          <w:sz w:val="22"/>
          <w:szCs w:val="22"/>
        </w:rPr>
        <w:t xml:space="preserve">W przypadku stwierdzenia nieprawidłowości działania układu pomiarowo-rozliczeniowego lub błędów w odczycie jego wskazań, skutkującymi zaniżeniem bądź zawyżeniem jego wskazań, Sprzedawca skoryguje należności za sprzedaną energię elektryczną oraz świadczenie usługi dystrybucji. Skorygowania dokonuje się według następujących zasad: </w:t>
      </w:r>
    </w:p>
    <w:p w:rsidR="00E9792A" w:rsidRDefault="00E9792A" w:rsidP="00E9792A">
      <w:pPr>
        <w:pStyle w:val="Akapitzlist"/>
        <w:numPr>
          <w:ilvl w:val="0"/>
          <w:numId w:val="18"/>
        </w:numPr>
        <w:jc w:val="both"/>
        <w:rPr>
          <w:rFonts w:ascii="Arial" w:hAnsi="Arial" w:cs="Arial"/>
          <w:sz w:val="22"/>
          <w:szCs w:val="22"/>
        </w:rPr>
      </w:pPr>
      <w:r w:rsidRPr="00E9792A">
        <w:rPr>
          <w:rFonts w:ascii="Arial" w:hAnsi="Arial" w:cs="Arial"/>
          <w:sz w:val="22"/>
          <w:szCs w:val="22"/>
        </w:rPr>
        <w:t>korekta, o której mowa w ust. j. w., obejmuje cały okres rozliczeniowy lub okres, w</w:t>
      </w:r>
      <w:r w:rsidR="00FB667C">
        <w:rPr>
          <w:rFonts w:ascii="Arial" w:hAnsi="Arial" w:cs="Arial"/>
          <w:sz w:val="22"/>
          <w:szCs w:val="22"/>
        </w:rPr>
        <w:t> </w:t>
      </w:r>
      <w:r w:rsidRPr="00E9792A">
        <w:rPr>
          <w:rFonts w:ascii="Arial" w:hAnsi="Arial" w:cs="Arial"/>
          <w:sz w:val="22"/>
          <w:szCs w:val="22"/>
        </w:rPr>
        <w:t xml:space="preserve">którym występowały stwierdzone nieprawidłowości lub błędy. </w:t>
      </w:r>
    </w:p>
    <w:p w:rsidR="00E9792A" w:rsidRDefault="00E9792A" w:rsidP="00E9792A">
      <w:pPr>
        <w:pStyle w:val="Akapitzlist"/>
        <w:numPr>
          <w:ilvl w:val="0"/>
          <w:numId w:val="18"/>
        </w:numPr>
        <w:jc w:val="both"/>
        <w:rPr>
          <w:rFonts w:ascii="Arial" w:hAnsi="Arial" w:cs="Arial"/>
          <w:sz w:val="22"/>
          <w:szCs w:val="22"/>
        </w:rPr>
      </w:pPr>
      <w:r w:rsidRPr="00E9792A">
        <w:rPr>
          <w:rFonts w:ascii="Arial" w:hAnsi="Arial" w:cs="Arial"/>
          <w:sz w:val="22"/>
          <w:szCs w:val="22"/>
        </w:rPr>
        <w:t xml:space="preserve">podstawą do wyliczenia wielkości korekty faktur VAT, o których mowa w ust. </w:t>
      </w:r>
      <w:r w:rsidR="00FB667C" w:rsidRPr="00E9792A">
        <w:rPr>
          <w:rFonts w:ascii="Arial" w:hAnsi="Arial" w:cs="Arial"/>
          <w:sz w:val="22"/>
          <w:szCs w:val="22"/>
        </w:rPr>
        <w:t>jw.</w:t>
      </w:r>
      <w:r w:rsidRPr="00E9792A">
        <w:rPr>
          <w:rFonts w:ascii="Arial" w:hAnsi="Arial" w:cs="Arial"/>
          <w:sz w:val="22"/>
          <w:szCs w:val="22"/>
        </w:rPr>
        <w:t>, jest wielkość błędu wskazań układu pomiarowo-rozliczeniowego.</w:t>
      </w:r>
    </w:p>
    <w:p w:rsidR="00E9792A" w:rsidRDefault="00E9792A" w:rsidP="00E9792A">
      <w:pPr>
        <w:pStyle w:val="Akapitzlist"/>
        <w:numPr>
          <w:ilvl w:val="0"/>
          <w:numId w:val="18"/>
        </w:numPr>
        <w:jc w:val="both"/>
        <w:rPr>
          <w:rFonts w:ascii="Arial" w:hAnsi="Arial" w:cs="Arial"/>
          <w:sz w:val="22"/>
          <w:szCs w:val="22"/>
        </w:rPr>
      </w:pPr>
      <w:r w:rsidRPr="00E9792A">
        <w:rPr>
          <w:rFonts w:ascii="Arial" w:hAnsi="Arial" w:cs="Arial"/>
          <w:sz w:val="22"/>
          <w:szCs w:val="22"/>
        </w:rPr>
        <w:t>jeżeli określenie błędu, o którym mowa w ust. j. w., nie jest możliwe, podstawę do wyliczenia wielkości korekty stanowi średnia liczba jednostek energii elektrycznej za okres doby, obliczana na podstawie sumy jednostek energii elektrycznej prawidłowo wykazanych przez układ pomiarowo-rozliczeniowy w poprzednim okresie rozliczeniowym, pomnożona przez liczbę dni okresu, którego dotyczy korekta faktury VAT. W wyliczaniu wielkości korekty należy uwzględnić sezonowość poboru energii elektrycznej oraz inne udokumentowane okoliczności mające wpływ na wielkość poboru tej energii.</w:t>
      </w:r>
    </w:p>
    <w:p w:rsidR="00E9792A" w:rsidRPr="00E9792A" w:rsidRDefault="00E9792A" w:rsidP="00E9792A">
      <w:pPr>
        <w:pStyle w:val="Akapitzlist"/>
        <w:numPr>
          <w:ilvl w:val="0"/>
          <w:numId w:val="18"/>
        </w:numPr>
        <w:jc w:val="both"/>
        <w:rPr>
          <w:rFonts w:ascii="Arial" w:hAnsi="Arial" w:cs="Arial"/>
          <w:sz w:val="22"/>
          <w:szCs w:val="22"/>
        </w:rPr>
      </w:pPr>
      <w:r w:rsidRPr="00E9792A">
        <w:rPr>
          <w:rFonts w:ascii="Arial" w:hAnsi="Arial" w:cs="Arial"/>
          <w:sz w:val="22"/>
          <w:szCs w:val="22"/>
        </w:rPr>
        <w:t>jeżeli nie można ustalić średniego dobowego zużycia energii elektrycznej na podstawie poprzedniego okresu rozliczeniowego, podstawą wyliczenia wielkości korekty jest wskazanie układu pomiarowo-rozliczeniowego z następnego okresu rozliczeniowego.</w:t>
      </w:r>
    </w:p>
    <w:p w:rsidR="006B1616" w:rsidRDefault="00E9792A" w:rsidP="006B1616">
      <w:pPr>
        <w:pStyle w:val="Akapitzlist"/>
        <w:numPr>
          <w:ilvl w:val="0"/>
          <w:numId w:val="16"/>
        </w:numPr>
        <w:ind w:left="567" w:hanging="567"/>
        <w:jc w:val="both"/>
        <w:rPr>
          <w:rFonts w:ascii="Arial" w:hAnsi="Arial" w:cs="Arial"/>
          <w:sz w:val="22"/>
          <w:szCs w:val="22"/>
        </w:rPr>
      </w:pPr>
      <w:r w:rsidRPr="006B1616">
        <w:rPr>
          <w:rFonts w:ascii="Arial" w:hAnsi="Arial" w:cs="Arial"/>
          <w:sz w:val="22"/>
          <w:szCs w:val="22"/>
        </w:rPr>
        <w:t>W przypadku zmiany cen i stawek opłat Sprzedawca przyjmuje do rozliczeń wskazania układu pomiarowo-rozliczeniowego na dzień wprowadzenia nowych cen i stawek opłat:</w:t>
      </w:r>
    </w:p>
    <w:p w:rsidR="006B1616" w:rsidRDefault="00E9792A" w:rsidP="00E9792A">
      <w:pPr>
        <w:pStyle w:val="Akapitzlist"/>
        <w:numPr>
          <w:ilvl w:val="0"/>
          <w:numId w:val="19"/>
        </w:numPr>
        <w:jc w:val="both"/>
        <w:rPr>
          <w:rFonts w:ascii="Arial" w:hAnsi="Arial" w:cs="Arial"/>
          <w:sz w:val="22"/>
          <w:szCs w:val="22"/>
        </w:rPr>
      </w:pPr>
      <w:r w:rsidRPr="006B1616">
        <w:rPr>
          <w:rFonts w:ascii="Arial" w:hAnsi="Arial" w:cs="Arial"/>
          <w:sz w:val="22"/>
          <w:szCs w:val="22"/>
        </w:rPr>
        <w:t>szacunkowe – na podstawie średniego dobowego zużycia energii elektrycznej w</w:t>
      </w:r>
      <w:r w:rsidR="00FB667C">
        <w:rPr>
          <w:rFonts w:ascii="Arial" w:hAnsi="Arial" w:cs="Arial"/>
          <w:sz w:val="22"/>
          <w:szCs w:val="22"/>
        </w:rPr>
        <w:t> </w:t>
      </w:r>
      <w:r w:rsidRPr="006B1616">
        <w:rPr>
          <w:rFonts w:ascii="Arial" w:hAnsi="Arial" w:cs="Arial"/>
          <w:sz w:val="22"/>
          <w:szCs w:val="22"/>
        </w:rPr>
        <w:t>okresie rozliczeniowym zawierającym datę zmiany cen i stawek opłat,</w:t>
      </w:r>
    </w:p>
    <w:p w:rsidR="00E9792A" w:rsidRPr="006B1616" w:rsidRDefault="00E9792A" w:rsidP="00E9792A">
      <w:pPr>
        <w:pStyle w:val="Akapitzlist"/>
        <w:numPr>
          <w:ilvl w:val="0"/>
          <w:numId w:val="19"/>
        </w:numPr>
        <w:jc w:val="both"/>
        <w:rPr>
          <w:rFonts w:ascii="Arial" w:hAnsi="Arial" w:cs="Arial"/>
          <w:sz w:val="22"/>
          <w:szCs w:val="22"/>
        </w:rPr>
      </w:pPr>
      <w:r w:rsidRPr="006B1616">
        <w:rPr>
          <w:rFonts w:ascii="Arial" w:hAnsi="Arial" w:cs="Arial"/>
          <w:sz w:val="22"/>
          <w:szCs w:val="22"/>
        </w:rPr>
        <w:t xml:space="preserve">rzeczywiste – odczytane przez OSD. </w:t>
      </w:r>
    </w:p>
    <w:p w:rsidR="006B1616" w:rsidRDefault="00E9792A" w:rsidP="00E9792A">
      <w:pPr>
        <w:pStyle w:val="Akapitzlist"/>
        <w:numPr>
          <w:ilvl w:val="0"/>
          <w:numId w:val="16"/>
        </w:numPr>
        <w:ind w:left="567" w:hanging="567"/>
        <w:jc w:val="both"/>
        <w:rPr>
          <w:rFonts w:ascii="Arial" w:hAnsi="Arial" w:cs="Arial"/>
          <w:sz w:val="22"/>
          <w:szCs w:val="22"/>
        </w:rPr>
      </w:pPr>
      <w:r w:rsidRPr="006B1616">
        <w:rPr>
          <w:rFonts w:ascii="Arial" w:hAnsi="Arial" w:cs="Arial"/>
          <w:sz w:val="22"/>
          <w:szCs w:val="22"/>
        </w:rPr>
        <w:t>W przypadku, gdy Okres rozliczeniowy jest dłuższy niż jeden miesiąc, w okresie tym mogą być pobierane opłaty za energię elektryczną w wysokości określonej na podstawie prognozowanego zużycia energii w tym okresie, z uwzględnieniem sezonowości poboru energii i trendu poboru energii elektrycznej</w:t>
      </w:r>
    </w:p>
    <w:p w:rsidR="006B1616" w:rsidRDefault="00E9792A" w:rsidP="00E9792A">
      <w:pPr>
        <w:pStyle w:val="Akapitzlist"/>
        <w:numPr>
          <w:ilvl w:val="0"/>
          <w:numId w:val="16"/>
        </w:numPr>
        <w:ind w:left="567" w:hanging="567"/>
        <w:jc w:val="both"/>
        <w:rPr>
          <w:rFonts w:ascii="Arial" w:hAnsi="Arial" w:cs="Arial"/>
          <w:sz w:val="22"/>
          <w:szCs w:val="22"/>
        </w:rPr>
      </w:pPr>
      <w:r w:rsidRPr="006B1616">
        <w:rPr>
          <w:rFonts w:ascii="Arial" w:hAnsi="Arial" w:cs="Arial"/>
          <w:sz w:val="22"/>
          <w:szCs w:val="22"/>
        </w:rPr>
        <w:t>Jeżeli w wyniku wnoszenia opłat na podstawie prognozowanego zużycia energii elektrycznej wystąpi:</w:t>
      </w:r>
    </w:p>
    <w:p w:rsidR="006B1616" w:rsidRDefault="00E9792A" w:rsidP="00E9792A">
      <w:pPr>
        <w:pStyle w:val="Akapitzlist"/>
        <w:numPr>
          <w:ilvl w:val="0"/>
          <w:numId w:val="20"/>
        </w:numPr>
        <w:jc w:val="both"/>
        <w:rPr>
          <w:rFonts w:ascii="Arial" w:hAnsi="Arial" w:cs="Arial"/>
          <w:sz w:val="22"/>
          <w:szCs w:val="22"/>
        </w:rPr>
      </w:pPr>
      <w:r w:rsidRPr="006B1616">
        <w:rPr>
          <w:rFonts w:ascii="Arial" w:hAnsi="Arial" w:cs="Arial"/>
          <w:sz w:val="22"/>
          <w:szCs w:val="22"/>
        </w:rPr>
        <w:t>nadpłata, to podlega ona zaliczeniu na poczet płatności ustalonych na najbliższy okres rozliczeniowy, o ile Odbiorca nie zażąda jej zwrotu;</w:t>
      </w:r>
    </w:p>
    <w:p w:rsidR="006B1616" w:rsidRDefault="00E9792A" w:rsidP="00E9792A">
      <w:pPr>
        <w:pStyle w:val="Akapitzlist"/>
        <w:numPr>
          <w:ilvl w:val="0"/>
          <w:numId w:val="20"/>
        </w:numPr>
        <w:jc w:val="both"/>
        <w:rPr>
          <w:rFonts w:ascii="Arial" w:hAnsi="Arial" w:cs="Arial"/>
          <w:sz w:val="22"/>
          <w:szCs w:val="22"/>
        </w:rPr>
      </w:pPr>
      <w:r w:rsidRPr="006B1616">
        <w:rPr>
          <w:rFonts w:ascii="Arial" w:hAnsi="Arial" w:cs="Arial"/>
          <w:sz w:val="22"/>
          <w:szCs w:val="22"/>
        </w:rPr>
        <w:t>niedopłata, to podlega ona doliczeniu do pierwszej wystawianej faktury VAT.</w:t>
      </w:r>
    </w:p>
    <w:p w:rsidR="006B1616" w:rsidRDefault="00E9792A" w:rsidP="00E9792A">
      <w:pPr>
        <w:pStyle w:val="Akapitzlist"/>
        <w:numPr>
          <w:ilvl w:val="0"/>
          <w:numId w:val="16"/>
        </w:numPr>
        <w:ind w:left="567" w:hanging="567"/>
        <w:jc w:val="both"/>
        <w:rPr>
          <w:rFonts w:ascii="Arial" w:hAnsi="Arial" w:cs="Arial"/>
          <w:sz w:val="22"/>
          <w:szCs w:val="22"/>
        </w:rPr>
      </w:pPr>
      <w:r w:rsidRPr="006B1616">
        <w:rPr>
          <w:rFonts w:ascii="Arial" w:hAnsi="Arial" w:cs="Arial"/>
          <w:sz w:val="22"/>
          <w:szCs w:val="22"/>
        </w:rPr>
        <w:t>W razie powstania nadpłat w dwóch powtarzających się po sobie okresach rozliczeniowych, Sprzedawca zmniejszy prognozę proporcjonalnie do wielkości nadpłaty.</w:t>
      </w:r>
    </w:p>
    <w:p w:rsidR="00E9792A" w:rsidRPr="006B1616" w:rsidRDefault="00E9792A" w:rsidP="00E9792A">
      <w:pPr>
        <w:pStyle w:val="Akapitzlist"/>
        <w:numPr>
          <w:ilvl w:val="0"/>
          <w:numId w:val="16"/>
        </w:numPr>
        <w:ind w:left="567" w:hanging="567"/>
        <w:jc w:val="both"/>
        <w:rPr>
          <w:rFonts w:ascii="Arial" w:hAnsi="Arial" w:cs="Arial"/>
          <w:sz w:val="22"/>
          <w:szCs w:val="22"/>
        </w:rPr>
      </w:pPr>
      <w:r w:rsidRPr="006B1616">
        <w:rPr>
          <w:rFonts w:ascii="Arial" w:hAnsi="Arial" w:cs="Arial"/>
          <w:sz w:val="22"/>
          <w:szCs w:val="22"/>
        </w:rPr>
        <w:t>W przypadku gdy zmiana parametrów dystrybucyjnych wiązać się będzie z koniecznością ponoszenia dodatkowych opłat zgodnie z taryfą OSD Zamawiający zobowiązany będzie do ich uiszczenia</w:t>
      </w:r>
    </w:p>
    <w:p w:rsidR="00E9792A" w:rsidRPr="00E9792A" w:rsidRDefault="00E9792A" w:rsidP="00E9792A">
      <w:pPr>
        <w:jc w:val="both"/>
        <w:rPr>
          <w:rFonts w:ascii="Arial" w:hAnsi="Arial" w:cs="Arial"/>
          <w:sz w:val="22"/>
          <w:szCs w:val="22"/>
        </w:rPr>
      </w:pPr>
    </w:p>
    <w:p w:rsidR="006B1616" w:rsidRDefault="006B1616" w:rsidP="00E9792A">
      <w:pPr>
        <w:jc w:val="both"/>
        <w:rPr>
          <w:rFonts w:ascii="Arial" w:hAnsi="Arial" w:cs="Arial"/>
          <w:sz w:val="22"/>
          <w:szCs w:val="22"/>
        </w:rPr>
      </w:pPr>
    </w:p>
    <w:p w:rsidR="006B1616" w:rsidRPr="00E9792A" w:rsidRDefault="006B1616" w:rsidP="00E9792A">
      <w:pPr>
        <w:jc w:val="both"/>
        <w:rPr>
          <w:rFonts w:ascii="Arial" w:hAnsi="Arial" w:cs="Arial"/>
          <w:sz w:val="22"/>
          <w:szCs w:val="22"/>
        </w:rPr>
      </w:pPr>
    </w:p>
    <w:p w:rsidR="00E9792A" w:rsidRDefault="00E9792A" w:rsidP="006B1616">
      <w:pPr>
        <w:jc w:val="center"/>
        <w:rPr>
          <w:rFonts w:ascii="Arial" w:hAnsi="Arial" w:cs="Arial"/>
          <w:sz w:val="22"/>
          <w:szCs w:val="22"/>
        </w:rPr>
      </w:pPr>
      <w:r w:rsidRPr="00E9792A">
        <w:rPr>
          <w:rFonts w:ascii="Arial" w:hAnsi="Arial" w:cs="Arial"/>
          <w:sz w:val="22"/>
          <w:szCs w:val="22"/>
        </w:rPr>
        <w:t>ROZDZIAŁ 4</w:t>
      </w:r>
    </w:p>
    <w:p w:rsidR="006B1616" w:rsidRPr="00E9792A" w:rsidRDefault="006B1616" w:rsidP="006B1616">
      <w:pPr>
        <w:jc w:val="center"/>
        <w:rPr>
          <w:rFonts w:ascii="Arial" w:hAnsi="Arial" w:cs="Arial"/>
          <w:sz w:val="22"/>
          <w:szCs w:val="22"/>
        </w:rPr>
      </w:pPr>
    </w:p>
    <w:p w:rsidR="00E9792A" w:rsidRDefault="00E9792A" w:rsidP="006B1616">
      <w:pPr>
        <w:jc w:val="center"/>
        <w:rPr>
          <w:rFonts w:ascii="Arial" w:hAnsi="Arial" w:cs="Arial"/>
          <w:sz w:val="22"/>
          <w:szCs w:val="22"/>
        </w:rPr>
      </w:pPr>
      <w:r w:rsidRPr="00E9792A">
        <w:rPr>
          <w:rFonts w:ascii="Arial" w:hAnsi="Arial" w:cs="Arial"/>
          <w:sz w:val="22"/>
          <w:szCs w:val="22"/>
        </w:rPr>
        <w:t>WARUNKI ROZWIĄZANIA I ZMIANY UMOWY</w:t>
      </w:r>
    </w:p>
    <w:p w:rsidR="006B1616" w:rsidRPr="00E9792A" w:rsidRDefault="006B1616" w:rsidP="006B1616">
      <w:pPr>
        <w:jc w:val="center"/>
        <w:rPr>
          <w:rFonts w:ascii="Arial" w:hAnsi="Arial" w:cs="Arial"/>
          <w:sz w:val="22"/>
          <w:szCs w:val="22"/>
        </w:rPr>
      </w:pPr>
    </w:p>
    <w:p w:rsidR="00E9792A" w:rsidRPr="006B1616" w:rsidRDefault="00E9792A" w:rsidP="006B1616">
      <w:pPr>
        <w:jc w:val="center"/>
        <w:rPr>
          <w:rFonts w:ascii="Arial" w:hAnsi="Arial" w:cs="Arial"/>
          <w:b/>
          <w:bCs/>
          <w:sz w:val="22"/>
          <w:szCs w:val="22"/>
        </w:rPr>
      </w:pPr>
      <w:r w:rsidRPr="006B1616">
        <w:rPr>
          <w:rFonts w:ascii="Arial" w:hAnsi="Arial" w:cs="Arial"/>
          <w:b/>
          <w:bCs/>
          <w:sz w:val="22"/>
          <w:szCs w:val="22"/>
        </w:rPr>
        <w:t>§ 10</w:t>
      </w:r>
    </w:p>
    <w:p w:rsidR="006B1616" w:rsidRDefault="00E9792A" w:rsidP="00E9792A">
      <w:pPr>
        <w:pStyle w:val="Akapitzlist"/>
        <w:numPr>
          <w:ilvl w:val="0"/>
          <w:numId w:val="21"/>
        </w:numPr>
        <w:ind w:left="284" w:hanging="284"/>
        <w:jc w:val="both"/>
        <w:rPr>
          <w:rFonts w:ascii="Arial" w:hAnsi="Arial" w:cs="Arial"/>
          <w:sz w:val="22"/>
          <w:szCs w:val="22"/>
        </w:rPr>
      </w:pPr>
      <w:r w:rsidRPr="006B1616">
        <w:rPr>
          <w:rFonts w:ascii="Arial" w:hAnsi="Arial" w:cs="Arial"/>
          <w:sz w:val="22"/>
          <w:szCs w:val="22"/>
        </w:rPr>
        <w:t xml:space="preserve">Sprzedawca może zmienić warunki Umowy poprzez wprowadzenie nowych lub zmianę dotychczasowych odpowiednio Taryfy OSD, Regulaminu. </w:t>
      </w:r>
    </w:p>
    <w:p w:rsidR="006B1616" w:rsidRDefault="00E9792A" w:rsidP="00E9792A">
      <w:pPr>
        <w:pStyle w:val="Akapitzlist"/>
        <w:numPr>
          <w:ilvl w:val="0"/>
          <w:numId w:val="21"/>
        </w:numPr>
        <w:ind w:left="284" w:hanging="284"/>
        <w:jc w:val="both"/>
        <w:rPr>
          <w:rFonts w:ascii="Arial" w:hAnsi="Arial" w:cs="Arial"/>
          <w:sz w:val="22"/>
          <w:szCs w:val="22"/>
        </w:rPr>
      </w:pPr>
      <w:r w:rsidRPr="006B1616">
        <w:rPr>
          <w:rFonts w:ascii="Arial" w:hAnsi="Arial" w:cs="Arial"/>
          <w:sz w:val="22"/>
          <w:szCs w:val="22"/>
        </w:rPr>
        <w:t>Taryfy, podlegające zatwierdzeniu przez Prezesa URE, nie wymagają aneksu i wchodzą w</w:t>
      </w:r>
      <w:r w:rsidR="00FB667C">
        <w:rPr>
          <w:rFonts w:ascii="Arial" w:hAnsi="Arial" w:cs="Arial"/>
          <w:sz w:val="22"/>
          <w:szCs w:val="22"/>
        </w:rPr>
        <w:t> </w:t>
      </w:r>
      <w:r w:rsidRPr="006B1616">
        <w:rPr>
          <w:rFonts w:ascii="Arial" w:hAnsi="Arial" w:cs="Arial"/>
          <w:sz w:val="22"/>
          <w:szCs w:val="22"/>
        </w:rPr>
        <w:t>życie nie wcześniej niż 14 dni od daty ich opublikowania w Biuletynie Urzędu Regulacji Energetyki.</w:t>
      </w:r>
    </w:p>
    <w:p w:rsidR="006B1616" w:rsidRDefault="00E9792A" w:rsidP="00E9792A">
      <w:pPr>
        <w:pStyle w:val="Akapitzlist"/>
        <w:numPr>
          <w:ilvl w:val="0"/>
          <w:numId w:val="21"/>
        </w:numPr>
        <w:ind w:left="284" w:hanging="284"/>
        <w:jc w:val="both"/>
        <w:rPr>
          <w:rFonts w:ascii="Arial" w:hAnsi="Arial" w:cs="Arial"/>
          <w:sz w:val="22"/>
          <w:szCs w:val="22"/>
        </w:rPr>
      </w:pPr>
      <w:r w:rsidRPr="006B1616">
        <w:rPr>
          <w:rFonts w:ascii="Arial" w:hAnsi="Arial" w:cs="Arial"/>
          <w:sz w:val="22"/>
          <w:szCs w:val="22"/>
        </w:rPr>
        <w:t xml:space="preserve">Zmiany odpowiednio Umowy, Regulaminu wprowadza Sprzedawca. Zmiany wchodzą w życie z dniem wskazanym przez Sprzedawcę. </w:t>
      </w:r>
    </w:p>
    <w:p w:rsidR="00E9792A" w:rsidRPr="006B1616" w:rsidRDefault="00E9792A" w:rsidP="00E9792A">
      <w:pPr>
        <w:pStyle w:val="Akapitzlist"/>
        <w:numPr>
          <w:ilvl w:val="0"/>
          <w:numId w:val="21"/>
        </w:numPr>
        <w:ind w:left="284" w:hanging="284"/>
        <w:jc w:val="both"/>
        <w:rPr>
          <w:rFonts w:ascii="Arial" w:hAnsi="Arial" w:cs="Arial"/>
          <w:sz w:val="22"/>
          <w:szCs w:val="22"/>
        </w:rPr>
      </w:pPr>
      <w:r w:rsidRPr="006B1616">
        <w:rPr>
          <w:rFonts w:ascii="Arial" w:hAnsi="Arial" w:cs="Arial"/>
          <w:sz w:val="22"/>
          <w:szCs w:val="22"/>
        </w:rPr>
        <w:t>W przypadku zmiany przepisów skutkujących zmianą stawki podatku VAT lub akcyzy ceny energii elektrycznej zostają powiększone o kwotę wynikającą z obowiązków nałożonych właściwymi przepisami, od dnia ich wejścia w życie.</w:t>
      </w:r>
    </w:p>
    <w:p w:rsidR="00E9792A" w:rsidRPr="00E9792A" w:rsidRDefault="00E9792A" w:rsidP="00E9792A">
      <w:pPr>
        <w:jc w:val="both"/>
        <w:rPr>
          <w:rFonts w:ascii="Arial" w:hAnsi="Arial" w:cs="Arial"/>
          <w:sz w:val="22"/>
          <w:szCs w:val="22"/>
        </w:rPr>
      </w:pPr>
    </w:p>
    <w:p w:rsidR="00E9792A" w:rsidRDefault="00E9792A" w:rsidP="006B1616">
      <w:pPr>
        <w:jc w:val="center"/>
        <w:rPr>
          <w:rFonts w:ascii="Arial" w:hAnsi="Arial" w:cs="Arial"/>
          <w:sz w:val="22"/>
          <w:szCs w:val="22"/>
        </w:rPr>
      </w:pPr>
      <w:r w:rsidRPr="00E9792A">
        <w:rPr>
          <w:rFonts w:ascii="Arial" w:hAnsi="Arial" w:cs="Arial"/>
          <w:sz w:val="22"/>
          <w:szCs w:val="22"/>
        </w:rPr>
        <w:t>ROZDZIAŁ 5</w:t>
      </w:r>
    </w:p>
    <w:p w:rsidR="006B1616" w:rsidRPr="00E9792A" w:rsidRDefault="006B1616" w:rsidP="006B1616">
      <w:pPr>
        <w:jc w:val="center"/>
        <w:rPr>
          <w:rFonts w:ascii="Arial" w:hAnsi="Arial" w:cs="Arial"/>
          <w:sz w:val="22"/>
          <w:szCs w:val="22"/>
        </w:rPr>
      </w:pPr>
    </w:p>
    <w:p w:rsidR="00E9792A" w:rsidRDefault="00E9792A" w:rsidP="006B1616">
      <w:pPr>
        <w:jc w:val="center"/>
        <w:rPr>
          <w:rFonts w:ascii="Arial" w:hAnsi="Arial" w:cs="Arial"/>
          <w:sz w:val="22"/>
          <w:szCs w:val="22"/>
        </w:rPr>
      </w:pPr>
      <w:r w:rsidRPr="00E9792A">
        <w:rPr>
          <w:rFonts w:ascii="Arial" w:hAnsi="Arial" w:cs="Arial"/>
          <w:sz w:val="22"/>
          <w:szCs w:val="22"/>
        </w:rPr>
        <w:t>WALORYZACJA</w:t>
      </w:r>
    </w:p>
    <w:p w:rsidR="006B1616" w:rsidRPr="00E9792A" w:rsidRDefault="006B1616" w:rsidP="006B1616">
      <w:pPr>
        <w:jc w:val="center"/>
        <w:rPr>
          <w:rFonts w:ascii="Arial" w:hAnsi="Arial" w:cs="Arial"/>
          <w:sz w:val="22"/>
          <w:szCs w:val="22"/>
        </w:rPr>
      </w:pPr>
    </w:p>
    <w:p w:rsidR="00E9792A" w:rsidRPr="006B1616" w:rsidRDefault="00E9792A" w:rsidP="006B1616">
      <w:pPr>
        <w:jc w:val="center"/>
        <w:rPr>
          <w:rFonts w:ascii="Arial" w:hAnsi="Arial" w:cs="Arial"/>
          <w:b/>
          <w:bCs/>
          <w:sz w:val="22"/>
          <w:szCs w:val="22"/>
        </w:rPr>
      </w:pPr>
      <w:r w:rsidRPr="006B1616">
        <w:rPr>
          <w:rFonts w:ascii="Arial" w:hAnsi="Arial" w:cs="Arial"/>
          <w:b/>
          <w:bCs/>
          <w:sz w:val="22"/>
          <w:szCs w:val="22"/>
        </w:rPr>
        <w:t>§ 11</w:t>
      </w:r>
    </w:p>
    <w:p w:rsidR="006B1616" w:rsidRDefault="00E9792A" w:rsidP="00E9792A">
      <w:pPr>
        <w:pStyle w:val="Akapitzlist"/>
        <w:numPr>
          <w:ilvl w:val="0"/>
          <w:numId w:val="22"/>
        </w:numPr>
        <w:ind w:left="284" w:hanging="284"/>
        <w:jc w:val="both"/>
        <w:rPr>
          <w:rFonts w:ascii="Arial" w:hAnsi="Arial" w:cs="Arial"/>
          <w:sz w:val="22"/>
          <w:szCs w:val="22"/>
        </w:rPr>
      </w:pPr>
      <w:r w:rsidRPr="006B1616">
        <w:rPr>
          <w:rFonts w:ascii="Arial" w:hAnsi="Arial" w:cs="Arial"/>
          <w:sz w:val="22"/>
          <w:szCs w:val="22"/>
        </w:rPr>
        <w:t>Stosownie do treści art. 436 pkt 4) ppkt b) ustawy Pzp Zamawiający przewiduje możliwość zmiany wysokości wynagrodzenia, określonego w § 9 ust. 2 Umowy, w następujących przypadkach:</w:t>
      </w:r>
    </w:p>
    <w:p w:rsidR="006B1616" w:rsidRDefault="00E9792A" w:rsidP="00E9792A">
      <w:pPr>
        <w:pStyle w:val="Akapitzlist"/>
        <w:numPr>
          <w:ilvl w:val="0"/>
          <w:numId w:val="23"/>
        </w:numPr>
        <w:jc w:val="both"/>
        <w:rPr>
          <w:rFonts w:ascii="Arial" w:hAnsi="Arial" w:cs="Arial"/>
          <w:sz w:val="22"/>
          <w:szCs w:val="22"/>
        </w:rPr>
      </w:pPr>
      <w:r w:rsidRPr="006B1616">
        <w:rPr>
          <w:rFonts w:ascii="Arial" w:hAnsi="Arial" w:cs="Arial"/>
          <w:sz w:val="22"/>
          <w:szCs w:val="22"/>
        </w:rPr>
        <w:t>w przypadku zmiany stawki podatku od towarów i usług i/lub podatku akcyzowego,</w:t>
      </w:r>
    </w:p>
    <w:p w:rsidR="006B1616" w:rsidRDefault="00E9792A" w:rsidP="00E9792A">
      <w:pPr>
        <w:pStyle w:val="Akapitzlist"/>
        <w:numPr>
          <w:ilvl w:val="0"/>
          <w:numId w:val="23"/>
        </w:numPr>
        <w:jc w:val="both"/>
        <w:rPr>
          <w:rFonts w:ascii="Arial" w:hAnsi="Arial" w:cs="Arial"/>
          <w:sz w:val="22"/>
          <w:szCs w:val="22"/>
        </w:rPr>
      </w:pPr>
      <w:r w:rsidRPr="006B1616">
        <w:rPr>
          <w:rFonts w:ascii="Arial" w:hAnsi="Arial" w:cs="Arial"/>
          <w:sz w:val="22"/>
          <w:szCs w:val="22"/>
        </w:rPr>
        <w:t>w przypadku zmiany wysokości minimalnego wynagrodzenia za pracę ustalonego na podstawie art. 2 ust. 3 – 5 ustawy z dnia 10 października 2002 r. o minimalnym wynagrodzeniu za pracę,</w:t>
      </w:r>
    </w:p>
    <w:p w:rsidR="006B1616" w:rsidRDefault="00E9792A" w:rsidP="00E9792A">
      <w:pPr>
        <w:pStyle w:val="Akapitzlist"/>
        <w:numPr>
          <w:ilvl w:val="0"/>
          <w:numId w:val="23"/>
        </w:numPr>
        <w:jc w:val="both"/>
        <w:rPr>
          <w:rFonts w:ascii="Arial" w:hAnsi="Arial" w:cs="Arial"/>
          <w:sz w:val="22"/>
          <w:szCs w:val="22"/>
        </w:rPr>
      </w:pPr>
      <w:r w:rsidRPr="006B1616">
        <w:rPr>
          <w:rFonts w:ascii="Arial" w:hAnsi="Arial" w:cs="Arial"/>
          <w:sz w:val="22"/>
          <w:szCs w:val="22"/>
        </w:rPr>
        <w:t>w przypadku zmian zasad podlegania ubezpieczeniom społecznym lub</w:t>
      </w:r>
      <w:r w:rsidR="00FB667C">
        <w:rPr>
          <w:rFonts w:ascii="Arial" w:hAnsi="Arial" w:cs="Arial"/>
          <w:sz w:val="22"/>
          <w:szCs w:val="22"/>
        </w:rPr>
        <w:t> </w:t>
      </w:r>
      <w:r w:rsidRPr="006B1616">
        <w:rPr>
          <w:rFonts w:ascii="Arial" w:hAnsi="Arial" w:cs="Arial"/>
          <w:sz w:val="22"/>
          <w:szCs w:val="22"/>
        </w:rPr>
        <w:t>ubezpieczeniu zdrowotnemu lub zmiany wysokości stawki składki na ubezpieczenia społeczne lub zdrowotne,</w:t>
      </w:r>
    </w:p>
    <w:p w:rsidR="00E9792A" w:rsidRPr="006B1616" w:rsidRDefault="00E9792A" w:rsidP="00E9792A">
      <w:pPr>
        <w:pStyle w:val="Akapitzlist"/>
        <w:numPr>
          <w:ilvl w:val="0"/>
          <w:numId w:val="23"/>
        </w:numPr>
        <w:jc w:val="both"/>
        <w:rPr>
          <w:rFonts w:ascii="Arial" w:hAnsi="Arial" w:cs="Arial"/>
          <w:sz w:val="22"/>
          <w:szCs w:val="22"/>
        </w:rPr>
      </w:pPr>
      <w:r w:rsidRPr="006B1616">
        <w:rPr>
          <w:rFonts w:ascii="Arial" w:hAnsi="Arial" w:cs="Arial"/>
          <w:sz w:val="22"/>
          <w:szCs w:val="22"/>
        </w:rPr>
        <w:t>w przypadku zasad gromadzenia i wysokości wpłat do pracowniczych planów kapitałowych, o których mowa w ustawie z dnia 4 października 2018 r. o pracowniczych planach kapitałowych (Dz. U. 2020, poz. 1342 tj.) - jeżeli zmiany określone w pkt. 1), 2), 3) i 4) będą miały wpływ na koszty wykonania Umowy przez Wykonawcę.</w:t>
      </w:r>
    </w:p>
    <w:p w:rsidR="006B1616" w:rsidRDefault="00E9792A" w:rsidP="00E9792A">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W sytuacji wystąpienia okoliczności wskazanych w ust. 1 pkt. 1) niniejszego paragrafu wejście w życie zmiany nie wymaga aneksu do umowy.</w:t>
      </w:r>
    </w:p>
    <w:p w:rsidR="006B1616" w:rsidRPr="00FB667C" w:rsidRDefault="00E9792A" w:rsidP="006B1616">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B1616" w:rsidRPr="00FB667C" w:rsidRDefault="00E9792A" w:rsidP="00FB667C">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 xml:space="preserve">W sytuacji wystąpienia okoliczności wskazanych w ust. 1 pkt. 3) niniejszego paragrafu Wykonawca jest uprawniony złożyć Zamawiającemu pisemny wniosek o zmianę Umowy w zakresie płatności wynikających z faktur wystawionych po zmianie zasad podlegania </w:t>
      </w:r>
      <w:r w:rsidRPr="006B1616">
        <w:rPr>
          <w:rFonts w:ascii="Arial" w:hAnsi="Arial" w:cs="Arial"/>
          <w:sz w:val="22"/>
          <w:szCs w:val="22"/>
        </w:rPr>
        <w:lastRenderedPageBreak/>
        <w:t>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w:t>
      </w:r>
    </w:p>
    <w:p w:rsidR="006B1616" w:rsidRPr="00FB667C" w:rsidRDefault="00E9792A" w:rsidP="00FB667C">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B1616" w:rsidRPr="00FB667C" w:rsidRDefault="00E9792A" w:rsidP="00FB667C">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 wykonano.</w:t>
      </w:r>
    </w:p>
    <w:p w:rsidR="006B1616" w:rsidRPr="00FB667C" w:rsidRDefault="00E9792A" w:rsidP="00FB667C">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Obowiązek wykazania wpływu zmian (z wyjątkiem zmiany stawki podatku od towarów i usług i/lub podatku akcyzowego) o których mowa w ust. 1 niniejszego paragrafu na zmianę wynagrodzenia, o którym mowa w § 6 ust. 1 Umowy należy do Wykonawcy pod rygorem odmowy dokonania zmiany Umowy przez Zamawiającego.</w:t>
      </w:r>
    </w:p>
    <w:p w:rsidR="006B1616" w:rsidRPr="00FB667C" w:rsidRDefault="00E9792A" w:rsidP="00FB667C">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Strony zgodnie oświadczają, że waloryzacja wynagrodzenia, o której mowa w art. 439 Pzp, nie będzie miała zastosowania, w przypadku, gdy Wykonawca dokonał zakupu energii elektrycznej z góry, dla całego okresu zamówienia. Wobec powyższego, zmiana cen energii elektrycznej nie będzie miała wpływu na wartość przedmiotowego zamówienia.</w:t>
      </w:r>
    </w:p>
    <w:p w:rsidR="00E9792A" w:rsidRPr="006B1616" w:rsidRDefault="00E9792A" w:rsidP="00E9792A">
      <w:pPr>
        <w:pStyle w:val="Akapitzlist"/>
        <w:numPr>
          <w:ilvl w:val="0"/>
          <w:numId w:val="6"/>
        </w:numPr>
        <w:ind w:left="284" w:hanging="284"/>
        <w:jc w:val="both"/>
        <w:rPr>
          <w:rFonts w:ascii="Arial" w:hAnsi="Arial" w:cs="Arial"/>
          <w:sz w:val="22"/>
          <w:szCs w:val="22"/>
        </w:rPr>
      </w:pPr>
      <w:r w:rsidRPr="006B1616">
        <w:rPr>
          <w:rFonts w:ascii="Arial" w:hAnsi="Arial" w:cs="Arial"/>
          <w:sz w:val="22"/>
          <w:szCs w:val="22"/>
        </w:rPr>
        <w:t>Wykonawca oświadcza, że do dnia zawarcia przedmiotowej umowy dokonał zakupu energii elektrycznej w wysokości 100 % wolumenu wskazanego w dokumentacji przetargowej na okres od … do zakończenia umowy.</w:t>
      </w:r>
    </w:p>
    <w:p w:rsidR="00E9792A" w:rsidRPr="00E9792A" w:rsidRDefault="00E9792A" w:rsidP="00E9792A">
      <w:pPr>
        <w:jc w:val="both"/>
        <w:rPr>
          <w:rFonts w:ascii="Arial" w:hAnsi="Arial" w:cs="Arial"/>
          <w:sz w:val="22"/>
          <w:szCs w:val="22"/>
        </w:rPr>
      </w:pPr>
    </w:p>
    <w:p w:rsidR="00E9792A" w:rsidRDefault="00E9792A" w:rsidP="00FC133D">
      <w:pPr>
        <w:jc w:val="center"/>
        <w:rPr>
          <w:rFonts w:ascii="Arial" w:hAnsi="Arial" w:cs="Arial"/>
          <w:sz w:val="22"/>
          <w:szCs w:val="22"/>
        </w:rPr>
      </w:pPr>
      <w:r w:rsidRPr="00E9792A">
        <w:rPr>
          <w:rFonts w:ascii="Arial" w:hAnsi="Arial" w:cs="Arial"/>
          <w:sz w:val="22"/>
          <w:szCs w:val="22"/>
        </w:rPr>
        <w:t>ROZDZIAŁ 6</w:t>
      </w:r>
    </w:p>
    <w:p w:rsidR="00FC133D" w:rsidRPr="00E9792A" w:rsidRDefault="00FC133D" w:rsidP="00FC133D">
      <w:pPr>
        <w:jc w:val="center"/>
        <w:rPr>
          <w:rFonts w:ascii="Arial" w:hAnsi="Arial" w:cs="Arial"/>
          <w:sz w:val="22"/>
          <w:szCs w:val="22"/>
        </w:rPr>
      </w:pPr>
    </w:p>
    <w:p w:rsidR="00E9792A" w:rsidRDefault="00E9792A" w:rsidP="00FC133D">
      <w:pPr>
        <w:jc w:val="center"/>
        <w:rPr>
          <w:rFonts w:ascii="Arial" w:hAnsi="Arial" w:cs="Arial"/>
          <w:sz w:val="22"/>
          <w:szCs w:val="22"/>
        </w:rPr>
      </w:pPr>
      <w:r w:rsidRPr="00E9792A">
        <w:rPr>
          <w:rFonts w:ascii="Arial" w:hAnsi="Arial" w:cs="Arial"/>
          <w:sz w:val="22"/>
          <w:szCs w:val="22"/>
        </w:rPr>
        <w:t>WSTRZYMANIE DOSTAWY ENERGII ELEKTRYCZNEJ</w:t>
      </w:r>
    </w:p>
    <w:p w:rsidR="00FC133D" w:rsidRPr="00E9792A" w:rsidRDefault="00FC133D" w:rsidP="00FC133D">
      <w:pPr>
        <w:jc w:val="center"/>
        <w:rPr>
          <w:rFonts w:ascii="Arial" w:hAnsi="Arial" w:cs="Arial"/>
          <w:sz w:val="22"/>
          <w:szCs w:val="22"/>
        </w:rPr>
      </w:pPr>
    </w:p>
    <w:p w:rsidR="00E9792A" w:rsidRPr="00FC133D" w:rsidRDefault="00E9792A" w:rsidP="00FC133D">
      <w:pPr>
        <w:jc w:val="center"/>
        <w:rPr>
          <w:rFonts w:ascii="Arial" w:hAnsi="Arial" w:cs="Arial"/>
          <w:b/>
          <w:bCs/>
          <w:sz w:val="22"/>
          <w:szCs w:val="22"/>
        </w:rPr>
      </w:pPr>
      <w:r w:rsidRPr="00FC133D">
        <w:rPr>
          <w:rFonts w:ascii="Arial" w:hAnsi="Arial" w:cs="Arial"/>
          <w:b/>
          <w:bCs/>
          <w:sz w:val="22"/>
          <w:szCs w:val="22"/>
        </w:rPr>
        <w:t>§ 12</w:t>
      </w:r>
    </w:p>
    <w:p w:rsidR="00FC133D" w:rsidRDefault="00E9792A" w:rsidP="00E9792A">
      <w:pPr>
        <w:pStyle w:val="Akapitzlist"/>
        <w:numPr>
          <w:ilvl w:val="0"/>
          <w:numId w:val="24"/>
        </w:numPr>
        <w:ind w:left="426" w:hanging="426"/>
        <w:jc w:val="both"/>
        <w:rPr>
          <w:rFonts w:ascii="Arial" w:hAnsi="Arial" w:cs="Arial"/>
          <w:sz w:val="22"/>
          <w:szCs w:val="22"/>
        </w:rPr>
      </w:pPr>
      <w:r w:rsidRPr="00FC133D">
        <w:rPr>
          <w:rFonts w:ascii="Arial" w:hAnsi="Arial" w:cs="Arial"/>
          <w:sz w:val="22"/>
          <w:szCs w:val="22"/>
        </w:rPr>
        <w:t>Wstrzymanie dostawy energii elektrycznej może nastąpić w przypadku, gdy Odbiorca zwleka z zapłatą za pobraną energię elektryczną i świadczenie usługi dystrybucji co najmniej miesiąc po upływie terminu płatności, pomimo uprzedniego powiadomienia na piśmie o zamiarze wypowiedzenia Umowy i wyznaczenia dodatkowego, dwutygodniowego terminu do zapłaty zaległych i bieżących należności, przy czym Sprzedawca nie ponosi odpowiedzialności za straty wynikłe z tego tytułu.</w:t>
      </w:r>
    </w:p>
    <w:p w:rsidR="00FC133D" w:rsidRDefault="00E9792A" w:rsidP="00E9792A">
      <w:pPr>
        <w:pStyle w:val="Akapitzlist"/>
        <w:numPr>
          <w:ilvl w:val="0"/>
          <w:numId w:val="24"/>
        </w:numPr>
        <w:ind w:left="426" w:hanging="426"/>
        <w:jc w:val="both"/>
        <w:rPr>
          <w:rFonts w:ascii="Arial" w:hAnsi="Arial" w:cs="Arial"/>
          <w:sz w:val="22"/>
          <w:szCs w:val="22"/>
        </w:rPr>
      </w:pPr>
      <w:r w:rsidRPr="00FC133D">
        <w:rPr>
          <w:rFonts w:ascii="Arial" w:hAnsi="Arial" w:cs="Arial"/>
          <w:sz w:val="22"/>
          <w:szCs w:val="22"/>
        </w:rPr>
        <w:t>Sprzedawca informuje, że OSD przysługuje prawo wstrzymania dostaw energii elektrycznej oraz obciążenia Odbiorcy opłatami przewidzianymi w Taryfie OSD, w przypadku stwierdzenia nielegalnego poboru energii elektrycznej oraz w przypadku, gdy instalacja elektryczna znajdująca się u Odbiorcy stwarza bezpośrednie zagrożenie dla życia, zdrowia lub środowiska</w:t>
      </w:r>
      <w:r w:rsidR="00FC133D">
        <w:rPr>
          <w:rFonts w:ascii="Arial" w:hAnsi="Arial" w:cs="Arial"/>
          <w:sz w:val="22"/>
          <w:szCs w:val="22"/>
        </w:rPr>
        <w:t>.</w:t>
      </w:r>
    </w:p>
    <w:p w:rsidR="00FC133D" w:rsidRDefault="00E9792A" w:rsidP="00E9792A">
      <w:pPr>
        <w:pStyle w:val="Akapitzlist"/>
        <w:numPr>
          <w:ilvl w:val="0"/>
          <w:numId w:val="24"/>
        </w:numPr>
        <w:ind w:left="426" w:hanging="426"/>
        <w:jc w:val="both"/>
        <w:rPr>
          <w:rFonts w:ascii="Arial" w:hAnsi="Arial" w:cs="Arial"/>
          <w:sz w:val="22"/>
          <w:szCs w:val="22"/>
        </w:rPr>
      </w:pPr>
      <w:r w:rsidRPr="00FC133D">
        <w:rPr>
          <w:rFonts w:ascii="Arial" w:hAnsi="Arial" w:cs="Arial"/>
          <w:sz w:val="22"/>
          <w:szCs w:val="22"/>
        </w:rPr>
        <w:t xml:space="preserve">W przypadku stwierdzenia nielegalnego poboru energii elektrycznej Odbiorca uiszcza opłatę z tytułu nielegalnego poboru bezpośrednio na rzecz OSD. </w:t>
      </w:r>
    </w:p>
    <w:p w:rsidR="00FB667C" w:rsidRPr="00FB667C" w:rsidRDefault="00FB667C" w:rsidP="00FB667C">
      <w:pPr>
        <w:jc w:val="both"/>
        <w:rPr>
          <w:rFonts w:ascii="Arial" w:hAnsi="Arial" w:cs="Arial"/>
          <w:sz w:val="22"/>
          <w:szCs w:val="22"/>
        </w:rPr>
      </w:pPr>
    </w:p>
    <w:p w:rsidR="00FC133D" w:rsidRDefault="00E9792A" w:rsidP="00E9792A">
      <w:pPr>
        <w:pStyle w:val="Akapitzlist"/>
        <w:numPr>
          <w:ilvl w:val="0"/>
          <w:numId w:val="24"/>
        </w:numPr>
        <w:ind w:left="426" w:hanging="426"/>
        <w:jc w:val="both"/>
        <w:rPr>
          <w:rFonts w:ascii="Arial" w:hAnsi="Arial" w:cs="Arial"/>
          <w:sz w:val="22"/>
          <w:szCs w:val="22"/>
        </w:rPr>
      </w:pPr>
      <w:r w:rsidRPr="00FC133D">
        <w:rPr>
          <w:rFonts w:ascii="Arial" w:hAnsi="Arial" w:cs="Arial"/>
          <w:sz w:val="22"/>
          <w:szCs w:val="22"/>
        </w:rPr>
        <w:lastRenderedPageBreak/>
        <w:t xml:space="preserve">Wstrzymanie dostarczania energii lub rozwiązanie Umowy może nastąpić w przypadku braku zgody Odbiorcy na zainstalowanie przedpłatowego układu pomiarowo-rozliczeniowego, służącego do rozliczeń za dostarczoną energię elektryczną, instalowanego przez OSD zgodnie z zasadami Art. 6a. Ustawy. </w:t>
      </w:r>
    </w:p>
    <w:p w:rsidR="00FC133D" w:rsidRDefault="00E9792A" w:rsidP="00E9792A">
      <w:pPr>
        <w:pStyle w:val="Akapitzlist"/>
        <w:numPr>
          <w:ilvl w:val="0"/>
          <w:numId w:val="24"/>
        </w:numPr>
        <w:ind w:left="426" w:hanging="426"/>
        <w:jc w:val="both"/>
        <w:rPr>
          <w:rFonts w:ascii="Arial" w:hAnsi="Arial" w:cs="Arial"/>
          <w:sz w:val="22"/>
          <w:szCs w:val="22"/>
        </w:rPr>
      </w:pPr>
      <w:r w:rsidRPr="00FC133D">
        <w:rPr>
          <w:rFonts w:ascii="Arial" w:hAnsi="Arial" w:cs="Arial"/>
          <w:sz w:val="22"/>
          <w:szCs w:val="22"/>
        </w:rPr>
        <w:t>Wstrzymanie dostarczania energii z przyczyn, o których mowa powyżej nie oznacza rozwiązania Umowy. Odbiorca jest zobowiązany do regulowania opłat stałych wynikających z Taryfy lub Cennika Sprzedawcy i Taryfy OSD, w okresie wstrzymania dostawy, o ile nie nastąpi rozwiązanie Umowy.</w:t>
      </w:r>
    </w:p>
    <w:p w:rsidR="00E9792A" w:rsidRPr="00FC133D" w:rsidRDefault="00E9792A" w:rsidP="00E9792A">
      <w:pPr>
        <w:pStyle w:val="Akapitzlist"/>
        <w:numPr>
          <w:ilvl w:val="0"/>
          <w:numId w:val="24"/>
        </w:numPr>
        <w:ind w:left="426" w:hanging="426"/>
        <w:jc w:val="both"/>
        <w:rPr>
          <w:rFonts w:ascii="Arial" w:hAnsi="Arial" w:cs="Arial"/>
          <w:sz w:val="22"/>
          <w:szCs w:val="22"/>
        </w:rPr>
      </w:pPr>
      <w:r w:rsidRPr="00FC133D">
        <w:rPr>
          <w:rFonts w:ascii="Arial" w:hAnsi="Arial" w:cs="Arial"/>
          <w:sz w:val="22"/>
          <w:szCs w:val="22"/>
        </w:rPr>
        <w:t>Sprzedawca za pośrednictwem OSD ma prawo do uzależnienia wznowienia dostawy energii elektrycznej wstrzymanej z powodu jej nielegalnego poboru od wykonania zaleceń technicznych eliminujących przyczyny nielegalnego poboru energii elektrycznej.</w:t>
      </w:r>
    </w:p>
    <w:p w:rsidR="00E9792A" w:rsidRPr="00E9792A" w:rsidRDefault="00E9792A" w:rsidP="00E9792A">
      <w:pPr>
        <w:jc w:val="both"/>
        <w:rPr>
          <w:rFonts w:ascii="Arial" w:hAnsi="Arial" w:cs="Arial"/>
          <w:sz w:val="22"/>
          <w:szCs w:val="22"/>
        </w:rPr>
      </w:pPr>
    </w:p>
    <w:p w:rsidR="00E9792A" w:rsidRDefault="00E9792A" w:rsidP="00FC133D">
      <w:pPr>
        <w:jc w:val="center"/>
        <w:rPr>
          <w:rFonts w:ascii="Arial" w:hAnsi="Arial" w:cs="Arial"/>
          <w:sz w:val="22"/>
          <w:szCs w:val="22"/>
        </w:rPr>
      </w:pPr>
      <w:r w:rsidRPr="00E9792A">
        <w:rPr>
          <w:rFonts w:ascii="Arial" w:hAnsi="Arial" w:cs="Arial"/>
          <w:sz w:val="22"/>
          <w:szCs w:val="22"/>
        </w:rPr>
        <w:t>ROZDZIAŁ 7</w:t>
      </w:r>
    </w:p>
    <w:p w:rsidR="00FC133D" w:rsidRPr="00E9792A" w:rsidRDefault="00FC133D" w:rsidP="00FC133D">
      <w:pPr>
        <w:jc w:val="center"/>
        <w:rPr>
          <w:rFonts w:ascii="Arial" w:hAnsi="Arial" w:cs="Arial"/>
          <w:sz w:val="22"/>
          <w:szCs w:val="22"/>
        </w:rPr>
      </w:pPr>
    </w:p>
    <w:p w:rsidR="00E9792A" w:rsidRDefault="00E9792A" w:rsidP="00FC133D">
      <w:pPr>
        <w:jc w:val="center"/>
        <w:rPr>
          <w:rFonts w:ascii="Arial" w:hAnsi="Arial" w:cs="Arial"/>
          <w:sz w:val="22"/>
          <w:szCs w:val="22"/>
        </w:rPr>
      </w:pPr>
      <w:r w:rsidRPr="00E9792A">
        <w:rPr>
          <w:rFonts w:ascii="Arial" w:hAnsi="Arial" w:cs="Arial"/>
          <w:sz w:val="22"/>
          <w:szCs w:val="22"/>
        </w:rPr>
        <w:t>BONIFIKATY I UPUSTY Z TYTUŁU NIEDOTRZYMANIA STANDARDÓW JAKOŚCIOWYCH OBSŁUGI ODBIORCY</w:t>
      </w:r>
    </w:p>
    <w:p w:rsidR="00FC133D" w:rsidRPr="00E9792A" w:rsidRDefault="00FC133D" w:rsidP="00FC133D">
      <w:pPr>
        <w:jc w:val="center"/>
        <w:rPr>
          <w:rFonts w:ascii="Arial" w:hAnsi="Arial" w:cs="Arial"/>
          <w:sz w:val="22"/>
          <w:szCs w:val="22"/>
        </w:rPr>
      </w:pPr>
    </w:p>
    <w:p w:rsidR="00E9792A" w:rsidRPr="00FC133D" w:rsidRDefault="00E9792A" w:rsidP="00FC133D">
      <w:pPr>
        <w:jc w:val="center"/>
        <w:rPr>
          <w:rFonts w:ascii="Arial" w:hAnsi="Arial" w:cs="Arial"/>
          <w:b/>
          <w:bCs/>
          <w:sz w:val="22"/>
          <w:szCs w:val="22"/>
        </w:rPr>
      </w:pPr>
      <w:r w:rsidRPr="00FC133D">
        <w:rPr>
          <w:rFonts w:ascii="Arial" w:hAnsi="Arial" w:cs="Arial"/>
          <w:b/>
          <w:bCs/>
          <w:sz w:val="22"/>
          <w:szCs w:val="22"/>
        </w:rPr>
        <w:t>§ 13</w:t>
      </w:r>
    </w:p>
    <w:p w:rsidR="00FC133D" w:rsidRDefault="00E9792A" w:rsidP="00E9792A">
      <w:pPr>
        <w:pStyle w:val="Akapitzlist"/>
        <w:numPr>
          <w:ilvl w:val="0"/>
          <w:numId w:val="25"/>
        </w:numPr>
        <w:ind w:left="426" w:hanging="426"/>
        <w:jc w:val="both"/>
        <w:rPr>
          <w:rFonts w:ascii="Arial" w:hAnsi="Arial" w:cs="Arial"/>
          <w:sz w:val="22"/>
          <w:szCs w:val="22"/>
        </w:rPr>
      </w:pPr>
      <w:r w:rsidRPr="00FC133D">
        <w:rPr>
          <w:rFonts w:ascii="Arial" w:hAnsi="Arial" w:cs="Arial"/>
          <w:sz w:val="22"/>
          <w:szCs w:val="22"/>
        </w:rPr>
        <w:t xml:space="preserve">W przypadku niedotrzymania przez Sprzedawcę standardów jakościowych obsługi Odbiorcy, Odbiorcy przysługuje bonifikata. Umowa może odmiennie uregulować wysokość udzielanej bonifikaty. </w:t>
      </w:r>
    </w:p>
    <w:p w:rsidR="00FC133D" w:rsidRDefault="00E9792A" w:rsidP="00E9792A">
      <w:pPr>
        <w:pStyle w:val="Akapitzlist"/>
        <w:numPr>
          <w:ilvl w:val="0"/>
          <w:numId w:val="25"/>
        </w:numPr>
        <w:ind w:left="426" w:hanging="426"/>
        <w:jc w:val="both"/>
        <w:rPr>
          <w:rFonts w:ascii="Arial" w:hAnsi="Arial" w:cs="Arial"/>
          <w:sz w:val="22"/>
          <w:szCs w:val="22"/>
        </w:rPr>
      </w:pPr>
      <w:r w:rsidRPr="00FC133D">
        <w:rPr>
          <w:rFonts w:ascii="Arial" w:hAnsi="Arial" w:cs="Arial"/>
          <w:sz w:val="22"/>
          <w:szCs w:val="22"/>
        </w:rPr>
        <w:t>Wysokość bonifikaty, o której mowa w ust. 1, określana będzie w oparciu o przeciętne wynagrodzenie w gospodarce narodowej w roku kalendarzowym poprzedzającym rok zatwierdzenia taryfy, określonego w komunikacie Prezesa Głównego Urzędu Statystycznego ogłaszanym w Dzienniku Urzędowym Rzeczypospolitej Polskiej „Monitor Polski”.</w:t>
      </w:r>
    </w:p>
    <w:p w:rsidR="00E9792A" w:rsidRPr="00FC133D" w:rsidRDefault="00E9792A" w:rsidP="00E9792A">
      <w:pPr>
        <w:pStyle w:val="Akapitzlist"/>
        <w:numPr>
          <w:ilvl w:val="0"/>
          <w:numId w:val="25"/>
        </w:numPr>
        <w:ind w:left="426" w:hanging="426"/>
        <w:jc w:val="both"/>
        <w:rPr>
          <w:rFonts w:ascii="Arial" w:hAnsi="Arial" w:cs="Arial"/>
          <w:sz w:val="22"/>
          <w:szCs w:val="22"/>
        </w:rPr>
      </w:pPr>
      <w:r w:rsidRPr="00FC133D">
        <w:rPr>
          <w:rFonts w:ascii="Arial" w:hAnsi="Arial" w:cs="Arial"/>
          <w:sz w:val="22"/>
          <w:szCs w:val="22"/>
        </w:rPr>
        <w:t>Zmiana wysokości bonifikat i upustów z tytułu niedotrzymania standardów jakościowych obsługi Odbiorcy regulują przepisy wydane na podstawie Ustawy.</w:t>
      </w:r>
    </w:p>
    <w:p w:rsidR="00E9792A" w:rsidRPr="00E9792A" w:rsidRDefault="00E9792A" w:rsidP="00E9792A">
      <w:pPr>
        <w:jc w:val="both"/>
        <w:rPr>
          <w:rFonts w:ascii="Arial" w:hAnsi="Arial" w:cs="Arial"/>
          <w:sz w:val="22"/>
          <w:szCs w:val="22"/>
        </w:rPr>
      </w:pPr>
    </w:p>
    <w:p w:rsidR="00E9792A" w:rsidRDefault="00E9792A" w:rsidP="00FC133D">
      <w:pPr>
        <w:jc w:val="center"/>
        <w:rPr>
          <w:rFonts w:ascii="Arial" w:hAnsi="Arial" w:cs="Arial"/>
          <w:sz w:val="22"/>
          <w:szCs w:val="22"/>
        </w:rPr>
      </w:pPr>
      <w:r w:rsidRPr="00E9792A">
        <w:rPr>
          <w:rFonts w:ascii="Arial" w:hAnsi="Arial" w:cs="Arial"/>
          <w:sz w:val="22"/>
          <w:szCs w:val="22"/>
        </w:rPr>
        <w:t>ROZDZIAŁ 8</w:t>
      </w:r>
    </w:p>
    <w:p w:rsidR="00FC133D" w:rsidRPr="00E9792A" w:rsidRDefault="00FC133D" w:rsidP="00FC133D">
      <w:pPr>
        <w:jc w:val="center"/>
        <w:rPr>
          <w:rFonts w:ascii="Arial" w:hAnsi="Arial" w:cs="Arial"/>
          <w:sz w:val="22"/>
          <w:szCs w:val="22"/>
        </w:rPr>
      </w:pPr>
    </w:p>
    <w:p w:rsidR="00E9792A" w:rsidRDefault="00E9792A" w:rsidP="00FC133D">
      <w:pPr>
        <w:jc w:val="center"/>
        <w:rPr>
          <w:rFonts w:ascii="Arial" w:hAnsi="Arial" w:cs="Arial"/>
          <w:sz w:val="22"/>
          <w:szCs w:val="22"/>
        </w:rPr>
      </w:pPr>
      <w:r w:rsidRPr="00E9792A">
        <w:rPr>
          <w:rFonts w:ascii="Arial" w:hAnsi="Arial" w:cs="Arial"/>
          <w:sz w:val="22"/>
          <w:szCs w:val="22"/>
        </w:rPr>
        <w:t>POSTANOWIENIA KOŃCOWE</w:t>
      </w:r>
    </w:p>
    <w:p w:rsidR="00FC133D" w:rsidRPr="00E9792A" w:rsidRDefault="00FC133D" w:rsidP="00FC133D">
      <w:pPr>
        <w:jc w:val="center"/>
        <w:rPr>
          <w:rFonts w:ascii="Arial" w:hAnsi="Arial" w:cs="Arial"/>
          <w:sz w:val="22"/>
          <w:szCs w:val="22"/>
        </w:rPr>
      </w:pPr>
    </w:p>
    <w:p w:rsidR="00E9792A" w:rsidRPr="00FC133D" w:rsidRDefault="00E9792A" w:rsidP="00FC133D">
      <w:pPr>
        <w:jc w:val="center"/>
        <w:rPr>
          <w:rFonts w:ascii="Arial" w:hAnsi="Arial" w:cs="Arial"/>
          <w:b/>
          <w:bCs/>
          <w:sz w:val="22"/>
          <w:szCs w:val="22"/>
        </w:rPr>
      </w:pPr>
      <w:r w:rsidRPr="00FC133D">
        <w:rPr>
          <w:rFonts w:ascii="Arial" w:hAnsi="Arial" w:cs="Arial"/>
          <w:b/>
          <w:bCs/>
          <w:sz w:val="22"/>
          <w:szCs w:val="22"/>
        </w:rPr>
        <w:t>§ 14</w:t>
      </w:r>
    </w:p>
    <w:p w:rsidR="00FC133D" w:rsidRDefault="00E9792A" w:rsidP="00E9792A">
      <w:pPr>
        <w:pStyle w:val="Akapitzlist"/>
        <w:numPr>
          <w:ilvl w:val="0"/>
          <w:numId w:val="26"/>
        </w:numPr>
        <w:ind w:left="426" w:hanging="426"/>
        <w:jc w:val="both"/>
        <w:rPr>
          <w:rFonts w:ascii="Arial" w:hAnsi="Arial" w:cs="Arial"/>
          <w:sz w:val="22"/>
          <w:szCs w:val="22"/>
        </w:rPr>
      </w:pPr>
      <w:r w:rsidRPr="00FC133D">
        <w:rPr>
          <w:rFonts w:ascii="Arial" w:hAnsi="Arial" w:cs="Arial"/>
          <w:sz w:val="22"/>
          <w:szCs w:val="22"/>
        </w:rPr>
        <w:t>Sprzedawca nie odpowiada za niewykonanie lub niewłaściwe wykonanie Umowy oraz za szkody powstałe w skutek:</w:t>
      </w:r>
    </w:p>
    <w:p w:rsidR="00FC133D" w:rsidRDefault="00E9792A" w:rsidP="00E9792A">
      <w:pPr>
        <w:pStyle w:val="Akapitzlist"/>
        <w:numPr>
          <w:ilvl w:val="0"/>
          <w:numId w:val="27"/>
        </w:numPr>
        <w:jc w:val="both"/>
        <w:rPr>
          <w:rFonts w:ascii="Arial" w:hAnsi="Arial" w:cs="Arial"/>
          <w:sz w:val="22"/>
          <w:szCs w:val="22"/>
        </w:rPr>
      </w:pPr>
      <w:r w:rsidRPr="00FC133D">
        <w:rPr>
          <w:rFonts w:ascii="Arial" w:hAnsi="Arial" w:cs="Arial"/>
          <w:sz w:val="22"/>
          <w:szCs w:val="22"/>
        </w:rPr>
        <w:t>siły wyższej,</w:t>
      </w:r>
    </w:p>
    <w:p w:rsidR="00FC133D" w:rsidRDefault="00E9792A" w:rsidP="00E9792A">
      <w:pPr>
        <w:pStyle w:val="Akapitzlist"/>
        <w:numPr>
          <w:ilvl w:val="0"/>
          <w:numId w:val="27"/>
        </w:numPr>
        <w:jc w:val="both"/>
        <w:rPr>
          <w:rFonts w:ascii="Arial" w:hAnsi="Arial" w:cs="Arial"/>
          <w:sz w:val="22"/>
          <w:szCs w:val="22"/>
        </w:rPr>
      </w:pPr>
      <w:r w:rsidRPr="00FC133D">
        <w:rPr>
          <w:rFonts w:ascii="Arial" w:hAnsi="Arial" w:cs="Arial"/>
          <w:sz w:val="22"/>
          <w:szCs w:val="22"/>
        </w:rPr>
        <w:t>z przyczyn leżących po stronie Odbiorcy,</w:t>
      </w:r>
    </w:p>
    <w:p w:rsidR="00FC133D" w:rsidRDefault="00E9792A" w:rsidP="00E9792A">
      <w:pPr>
        <w:pStyle w:val="Akapitzlist"/>
        <w:numPr>
          <w:ilvl w:val="0"/>
          <w:numId w:val="27"/>
        </w:numPr>
        <w:jc w:val="both"/>
        <w:rPr>
          <w:rFonts w:ascii="Arial" w:hAnsi="Arial" w:cs="Arial"/>
          <w:sz w:val="22"/>
          <w:szCs w:val="22"/>
        </w:rPr>
      </w:pPr>
      <w:r w:rsidRPr="00FC133D">
        <w:rPr>
          <w:rFonts w:ascii="Arial" w:hAnsi="Arial" w:cs="Arial"/>
          <w:sz w:val="22"/>
          <w:szCs w:val="22"/>
        </w:rPr>
        <w:t>działania osoby trzeciej, za którą nie ponosi odpowiedzialności,</w:t>
      </w:r>
    </w:p>
    <w:p w:rsidR="00FC133D" w:rsidRDefault="00E9792A" w:rsidP="00E9792A">
      <w:pPr>
        <w:pStyle w:val="Akapitzlist"/>
        <w:numPr>
          <w:ilvl w:val="0"/>
          <w:numId w:val="27"/>
        </w:numPr>
        <w:jc w:val="both"/>
        <w:rPr>
          <w:rFonts w:ascii="Arial" w:hAnsi="Arial" w:cs="Arial"/>
          <w:sz w:val="22"/>
          <w:szCs w:val="22"/>
        </w:rPr>
      </w:pPr>
      <w:r w:rsidRPr="00FC133D">
        <w:rPr>
          <w:rFonts w:ascii="Arial" w:hAnsi="Arial" w:cs="Arial"/>
          <w:sz w:val="22"/>
          <w:szCs w:val="22"/>
        </w:rPr>
        <w:t>planowych i nieplanowych przerw w dostarczaniu energii elektrycznej</w:t>
      </w:r>
    </w:p>
    <w:p w:rsidR="00E9792A" w:rsidRPr="00FC133D" w:rsidRDefault="00E9792A" w:rsidP="00E9792A">
      <w:pPr>
        <w:pStyle w:val="Akapitzlist"/>
        <w:numPr>
          <w:ilvl w:val="0"/>
          <w:numId w:val="27"/>
        </w:numPr>
        <w:jc w:val="both"/>
        <w:rPr>
          <w:rFonts w:ascii="Arial" w:hAnsi="Arial" w:cs="Arial"/>
          <w:sz w:val="22"/>
          <w:szCs w:val="22"/>
        </w:rPr>
      </w:pPr>
      <w:r w:rsidRPr="00FC133D">
        <w:rPr>
          <w:rFonts w:ascii="Arial" w:hAnsi="Arial" w:cs="Arial"/>
          <w:sz w:val="22"/>
          <w:szCs w:val="22"/>
        </w:rPr>
        <w:t>ograniczeń, wprowadzanych na podstawie przepisów powszechnie obowiązujących na wypadek niedoboru mocy w Krajowym Systemie Energetycznym.</w:t>
      </w:r>
    </w:p>
    <w:p w:rsidR="00FC133D" w:rsidRDefault="00E9792A" w:rsidP="00E9792A">
      <w:pPr>
        <w:pStyle w:val="Akapitzlist"/>
        <w:numPr>
          <w:ilvl w:val="0"/>
          <w:numId w:val="26"/>
        </w:numPr>
        <w:ind w:left="426"/>
        <w:jc w:val="both"/>
        <w:rPr>
          <w:rFonts w:ascii="Arial" w:hAnsi="Arial" w:cs="Arial"/>
          <w:sz w:val="22"/>
          <w:szCs w:val="22"/>
        </w:rPr>
      </w:pPr>
      <w:r w:rsidRPr="00FC133D">
        <w:rPr>
          <w:rFonts w:ascii="Arial" w:hAnsi="Arial" w:cs="Arial"/>
          <w:sz w:val="22"/>
          <w:szCs w:val="22"/>
        </w:rPr>
        <w:t>Wstrzymanie dostarczania energii elektrycznej wynikające z przerw planowych, nie stanowi niewykonania lub nienależytego wykonania Umowy przez Sprzedawcę.</w:t>
      </w:r>
    </w:p>
    <w:p w:rsidR="00FC133D" w:rsidRDefault="00E9792A" w:rsidP="00E9792A">
      <w:pPr>
        <w:pStyle w:val="Akapitzlist"/>
        <w:numPr>
          <w:ilvl w:val="0"/>
          <w:numId w:val="26"/>
        </w:numPr>
        <w:ind w:left="426"/>
        <w:jc w:val="both"/>
        <w:rPr>
          <w:rFonts w:ascii="Arial" w:hAnsi="Arial" w:cs="Arial"/>
          <w:sz w:val="22"/>
          <w:szCs w:val="22"/>
        </w:rPr>
      </w:pPr>
      <w:r w:rsidRPr="00FC133D">
        <w:rPr>
          <w:rFonts w:ascii="Arial" w:hAnsi="Arial" w:cs="Arial"/>
          <w:sz w:val="22"/>
          <w:szCs w:val="22"/>
        </w:rPr>
        <w:t>Sprzedawca nie ponosi odpowiedzialności za brak zastosowania w instalacji Odbiorcy ochrony przed przepięciami łączeniowymi lub atmosferycznymi, występującymi w sieci dystrybucyjnej.</w:t>
      </w:r>
    </w:p>
    <w:p w:rsidR="00FC133D" w:rsidRDefault="00E9792A" w:rsidP="00E9792A">
      <w:pPr>
        <w:pStyle w:val="Akapitzlist"/>
        <w:numPr>
          <w:ilvl w:val="0"/>
          <w:numId w:val="26"/>
        </w:numPr>
        <w:ind w:left="426"/>
        <w:jc w:val="both"/>
        <w:rPr>
          <w:rFonts w:ascii="Arial" w:hAnsi="Arial" w:cs="Arial"/>
          <w:sz w:val="22"/>
          <w:szCs w:val="22"/>
        </w:rPr>
      </w:pPr>
      <w:r w:rsidRPr="00FC133D">
        <w:rPr>
          <w:rFonts w:ascii="Arial" w:hAnsi="Arial" w:cs="Arial"/>
          <w:sz w:val="22"/>
          <w:szCs w:val="22"/>
        </w:rPr>
        <w:t>Sprzedawcy przysługuje prawo przekazywania informacji dotyczących Odbiorcy niedokonującego terminowo zapłaty należności z niniejszej Umowy do właściwego biura informacji gospodarczej zgodnie z przepisami prawa obowiązującymi w tym zakresie.</w:t>
      </w:r>
    </w:p>
    <w:p w:rsidR="00FC133D" w:rsidRDefault="00E9792A" w:rsidP="00E9792A">
      <w:pPr>
        <w:pStyle w:val="Akapitzlist"/>
        <w:numPr>
          <w:ilvl w:val="0"/>
          <w:numId w:val="26"/>
        </w:numPr>
        <w:ind w:left="426"/>
        <w:jc w:val="both"/>
        <w:rPr>
          <w:rFonts w:ascii="Arial" w:hAnsi="Arial" w:cs="Arial"/>
          <w:sz w:val="22"/>
          <w:szCs w:val="22"/>
        </w:rPr>
      </w:pPr>
      <w:r w:rsidRPr="00FC133D">
        <w:rPr>
          <w:rFonts w:ascii="Arial" w:hAnsi="Arial" w:cs="Arial"/>
          <w:sz w:val="22"/>
          <w:szCs w:val="22"/>
        </w:rPr>
        <w:t xml:space="preserve">Wszelkie prace przy urządzeniach pomiarowo – rozliczeniowych mogą być wykonywane wyłącznie przez przedstawicieli OSD lub za jego zgodą. </w:t>
      </w:r>
    </w:p>
    <w:p w:rsidR="00FC133D" w:rsidRDefault="00E9792A" w:rsidP="00E9792A">
      <w:pPr>
        <w:pStyle w:val="Akapitzlist"/>
        <w:numPr>
          <w:ilvl w:val="0"/>
          <w:numId w:val="26"/>
        </w:numPr>
        <w:ind w:left="426"/>
        <w:jc w:val="both"/>
        <w:rPr>
          <w:rFonts w:ascii="Arial" w:hAnsi="Arial" w:cs="Arial"/>
          <w:sz w:val="22"/>
          <w:szCs w:val="22"/>
        </w:rPr>
      </w:pPr>
      <w:r w:rsidRPr="00FC133D">
        <w:rPr>
          <w:rFonts w:ascii="Arial" w:hAnsi="Arial" w:cs="Arial"/>
          <w:sz w:val="22"/>
          <w:szCs w:val="22"/>
        </w:rPr>
        <w:t>Sprzedawca może przenieść prawa i obowiązki wynikające z niniejszej Umowy na inny podmiot powiązany kapitałowo ze Sprzedawcą, lub inny podmiot będący następcą prawnym Sprzedawcy.</w:t>
      </w:r>
    </w:p>
    <w:p w:rsidR="00FC133D" w:rsidRDefault="00E9792A" w:rsidP="00E9792A">
      <w:pPr>
        <w:pStyle w:val="Akapitzlist"/>
        <w:numPr>
          <w:ilvl w:val="0"/>
          <w:numId w:val="26"/>
        </w:numPr>
        <w:ind w:left="426"/>
        <w:jc w:val="both"/>
        <w:rPr>
          <w:rFonts w:ascii="Arial" w:hAnsi="Arial" w:cs="Arial"/>
          <w:sz w:val="22"/>
          <w:szCs w:val="22"/>
        </w:rPr>
      </w:pPr>
      <w:r w:rsidRPr="00FC133D">
        <w:rPr>
          <w:rFonts w:ascii="Arial" w:hAnsi="Arial" w:cs="Arial"/>
          <w:sz w:val="22"/>
          <w:szCs w:val="22"/>
        </w:rPr>
        <w:t>Przy załatwianiu wszelkich spraw związanych z Umową należy powoływać się na numer ewidencyjny Odbiorcy (podany na fakturze VAT) lub na numer faktury VAT.</w:t>
      </w:r>
    </w:p>
    <w:p w:rsidR="00F928C9" w:rsidRPr="00FC133D" w:rsidRDefault="00E9792A" w:rsidP="00E9792A">
      <w:pPr>
        <w:pStyle w:val="Akapitzlist"/>
        <w:numPr>
          <w:ilvl w:val="0"/>
          <w:numId w:val="26"/>
        </w:numPr>
        <w:ind w:left="426"/>
        <w:jc w:val="both"/>
        <w:rPr>
          <w:rFonts w:ascii="Arial" w:hAnsi="Arial" w:cs="Arial"/>
          <w:sz w:val="22"/>
          <w:szCs w:val="22"/>
        </w:rPr>
      </w:pPr>
      <w:r w:rsidRPr="00FC133D">
        <w:rPr>
          <w:rFonts w:ascii="Arial" w:hAnsi="Arial" w:cs="Arial"/>
          <w:sz w:val="22"/>
          <w:szCs w:val="22"/>
        </w:rPr>
        <w:lastRenderedPageBreak/>
        <w:t>O ile Umowa nie stanowi inaczej, korespondencja pomiędzy stronami odbywa się listem zwykłym.</w:t>
      </w:r>
    </w:p>
    <w:sectPr w:rsidR="00F928C9" w:rsidRPr="00FC133D" w:rsidSect="00FC133D">
      <w:footerReference w:type="even" r:id="rId7"/>
      <w:footerReference w:type="default" r:id="rId8"/>
      <w:pgSz w:w="11906" w:h="16838"/>
      <w:pgMar w:top="1237" w:right="1275" w:bottom="968" w:left="1417" w:header="454" w:footer="5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543BE" w:rsidRDefault="001543BE" w:rsidP="00FC133D">
      <w:r>
        <w:separator/>
      </w:r>
    </w:p>
  </w:endnote>
  <w:endnote w:type="continuationSeparator" w:id="0">
    <w:p w:rsidR="001543BE" w:rsidRDefault="001543BE" w:rsidP="00FC1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860203231"/>
      <w:docPartObj>
        <w:docPartGallery w:val="Page Numbers (Bottom of Page)"/>
        <w:docPartUnique/>
      </w:docPartObj>
    </w:sdtPr>
    <w:sdtContent>
      <w:p w:rsidR="00FC133D" w:rsidRDefault="00FC133D" w:rsidP="00F2296E">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FC133D" w:rsidRDefault="00FC13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365524808"/>
      <w:docPartObj>
        <w:docPartGallery w:val="Page Numbers (Bottom of Page)"/>
        <w:docPartUnique/>
      </w:docPartObj>
    </w:sdtPr>
    <w:sdtContent>
      <w:p w:rsidR="00FC133D" w:rsidRDefault="00FC133D" w:rsidP="00F2296E">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FC133D" w:rsidRDefault="00FC13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543BE" w:rsidRDefault="001543BE" w:rsidP="00FC133D">
      <w:r>
        <w:separator/>
      </w:r>
    </w:p>
  </w:footnote>
  <w:footnote w:type="continuationSeparator" w:id="0">
    <w:p w:rsidR="001543BE" w:rsidRDefault="001543BE" w:rsidP="00FC1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73E06"/>
    <w:multiLevelType w:val="hybridMultilevel"/>
    <w:tmpl w:val="43BA96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561ED0"/>
    <w:multiLevelType w:val="hybridMultilevel"/>
    <w:tmpl w:val="910874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185E04A9"/>
    <w:multiLevelType w:val="hybridMultilevel"/>
    <w:tmpl w:val="E470351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1B9A21EF"/>
    <w:multiLevelType w:val="hybridMultilevel"/>
    <w:tmpl w:val="77045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24453D"/>
    <w:multiLevelType w:val="hybridMultilevel"/>
    <w:tmpl w:val="0D0862F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C6F1028"/>
    <w:multiLevelType w:val="hybridMultilevel"/>
    <w:tmpl w:val="F2F66D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BE609F"/>
    <w:multiLevelType w:val="hybridMultilevel"/>
    <w:tmpl w:val="5E64B5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D818B6"/>
    <w:multiLevelType w:val="hybridMultilevel"/>
    <w:tmpl w:val="4B8498B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2E45363E"/>
    <w:multiLevelType w:val="hybridMultilevel"/>
    <w:tmpl w:val="67E2B7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D14C89"/>
    <w:multiLevelType w:val="hybridMultilevel"/>
    <w:tmpl w:val="9E1AC7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2866C87"/>
    <w:multiLevelType w:val="hybridMultilevel"/>
    <w:tmpl w:val="A52AE346"/>
    <w:lvl w:ilvl="0" w:tplc="0415000F">
      <w:start w:val="1"/>
      <w:numFmt w:val="decimal"/>
      <w:lvlText w:val="%1."/>
      <w:lvlJc w:val="left"/>
      <w:pPr>
        <w:ind w:left="114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EB2421"/>
    <w:multiLevelType w:val="hybridMultilevel"/>
    <w:tmpl w:val="68E6DEE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441B0E93"/>
    <w:multiLevelType w:val="hybridMultilevel"/>
    <w:tmpl w:val="8F645376"/>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3" w15:restartNumberingAfterBreak="0">
    <w:nsid w:val="46FE379A"/>
    <w:multiLevelType w:val="hybridMultilevel"/>
    <w:tmpl w:val="A926A3C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4A8A6223"/>
    <w:multiLevelType w:val="hybridMultilevel"/>
    <w:tmpl w:val="4EB63150"/>
    <w:lvl w:ilvl="0" w:tplc="0415000F">
      <w:start w:val="1"/>
      <w:numFmt w:val="decimal"/>
      <w:lvlText w:val="%1."/>
      <w:lvlJc w:val="left"/>
      <w:pPr>
        <w:ind w:left="114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EE458B"/>
    <w:multiLevelType w:val="hybridMultilevel"/>
    <w:tmpl w:val="65864A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00B0C0A"/>
    <w:multiLevelType w:val="hybridMultilevel"/>
    <w:tmpl w:val="327C4F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347E3A"/>
    <w:multiLevelType w:val="hybridMultilevel"/>
    <w:tmpl w:val="A8484B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7220CEB"/>
    <w:multiLevelType w:val="hybridMultilevel"/>
    <w:tmpl w:val="A63835CA"/>
    <w:lvl w:ilvl="0" w:tplc="0415000F">
      <w:start w:val="1"/>
      <w:numFmt w:val="decimal"/>
      <w:lvlText w:val="%1."/>
      <w:lvlJc w:val="left"/>
      <w:pPr>
        <w:ind w:left="114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C4423D"/>
    <w:multiLevelType w:val="hybridMultilevel"/>
    <w:tmpl w:val="C398457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60F71E07"/>
    <w:multiLevelType w:val="hybridMultilevel"/>
    <w:tmpl w:val="4CDE50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658D2EA4"/>
    <w:multiLevelType w:val="hybridMultilevel"/>
    <w:tmpl w:val="5ED45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BD25A1"/>
    <w:multiLevelType w:val="hybridMultilevel"/>
    <w:tmpl w:val="151423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7B27434"/>
    <w:multiLevelType w:val="hybridMultilevel"/>
    <w:tmpl w:val="546067C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8FA60B3"/>
    <w:multiLevelType w:val="hybridMultilevel"/>
    <w:tmpl w:val="8550E2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D648D0"/>
    <w:multiLevelType w:val="hybridMultilevel"/>
    <w:tmpl w:val="4CB29C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7FE67E7A"/>
    <w:multiLevelType w:val="hybridMultilevel"/>
    <w:tmpl w:val="BF8CF6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77745099">
    <w:abstractNumId w:val="10"/>
  </w:num>
  <w:num w:numId="2" w16cid:durableId="1909538141">
    <w:abstractNumId w:val="18"/>
  </w:num>
  <w:num w:numId="3" w16cid:durableId="697779025">
    <w:abstractNumId w:val="14"/>
  </w:num>
  <w:num w:numId="4" w16cid:durableId="98842452">
    <w:abstractNumId w:val="17"/>
  </w:num>
  <w:num w:numId="5" w16cid:durableId="135342574">
    <w:abstractNumId w:val="19"/>
  </w:num>
  <w:num w:numId="6" w16cid:durableId="1802456209">
    <w:abstractNumId w:val="3"/>
  </w:num>
  <w:num w:numId="7" w16cid:durableId="234435850">
    <w:abstractNumId w:val="6"/>
  </w:num>
  <w:num w:numId="8" w16cid:durableId="734813796">
    <w:abstractNumId w:val="26"/>
  </w:num>
  <w:num w:numId="9" w16cid:durableId="1997801350">
    <w:abstractNumId w:val="12"/>
  </w:num>
  <w:num w:numId="10" w16cid:durableId="340743304">
    <w:abstractNumId w:val="5"/>
  </w:num>
  <w:num w:numId="11" w16cid:durableId="1804228320">
    <w:abstractNumId w:val="24"/>
  </w:num>
  <w:num w:numId="12" w16cid:durableId="1842113103">
    <w:abstractNumId w:val="11"/>
  </w:num>
  <w:num w:numId="13" w16cid:durableId="189733407">
    <w:abstractNumId w:val="16"/>
  </w:num>
  <w:num w:numId="14" w16cid:durableId="1751855376">
    <w:abstractNumId w:val="25"/>
  </w:num>
  <w:num w:numId="15" w16cid:durableId="841701352">
    <w:abstractNumId w:val="23"/>
  </w:num>
  <w:num w:numId="16" w16cid:durableId="1689720858">
    <w:abstractNumId w:val="9"/>
  </w:num>
  <w:num w:numId="17" w16cid:durableId="909459300">
    <w:abstractNumId w:val="2"/>
  </w:num>
  <w:num w:numId="18" w16cid:durableId="1592737878">
    <w:abstractNumId w:val="20"/>
  </w:num>
  <w:num w:numId="19" w16cid:durableId="232200937">
    <w:abstractNumId w:val="1"/>
  </w:num>
  <w:num w:numId="20" w16cid:durableId="2085950910">
    <w:abstractNumId w:val="13"/>
  </w:num>
  <w:num w:numId="21" w16cid:durableId="1142818105">
    <w:abstractNumId w:val="22"/>
  </w:num>
  <w:num w:numId="22" w16cid:durableId="750977440">
    <w:abstractNumId w:val="15"/>
  </w:num>
  <w:num w:numId="23" w16cid:durableId="322054844">
    <w:abstractNumId w:val="7"/>
  </w:num>
  <w:num w:numId="24" w16cid:durableId="699431815">
    <w:abstractNumId w:val="8"/>
  </w:num>
  <w:num w:numId="25" w16cid:durableId="734087526">
    <w:abstractNumId w:val="0"/>
  </w:num>
  <w:num w:numId="26" w16cid:durableId="1566986934">
    <w:abstractNumId w:val="21"/>
  </w:num>
  <w:num w:numId="27" w16cid:durableId="7541299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92A"/>
    <w:rsid w:val="001543BE"/>
    <w:rsid w:val="006B1616"/>
    <w:rsid w:val="0082091D"/>
    <w:rsid w:val="00D43619"/>
    <w:rsid w:val="00E9792A"/>
    <w:rsid w:val="00F928C9"/>
    <w:rsid w:val="00FB667C"/>
    <w:rsid w:val="00FC13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5916EE8F"/>
  <w15:chartTrackingRefBased/>
  <w15:docId w15:val="{32F3ABFA-6735-5045-833C-2589D67C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E9792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9792A"/>
    <w:rPr>
      <w:rFonts w:asciiTheme="majorHAnsi" w:eastAsiaTheme="majorEastAsia" w:hAnsiTheme="majorHAnsi" w:cstheme="majorBidi"/>
      <w:color w:val="2F5496" w:themeColor="accent1" w:themeShade="BF"/>
      <w:sz w:val="26"/>
      <w:szCs w:val="26"/>
    </w:rPr>
  </w:style>
  <w:style w:type="paragraph" w:styleId="Akapitzlist">
    <w:name w:val="List Paragraph"/>
    <w:basedOn w:val="Normalny"/>
    <w:uiPriority w:val="34"/>
    <w:qFormat/>
    <w:rsid w:val="00E9792A"/>
    <w:pPr>
      <w:ind w:left="720"/>
      <w:contextualSpacing/>
    </w:pPr>
  </w:style>
  <w:style w:type="paragraph" w:styleId="Stopka">
    <w:name w:val="footer"/>
    <w:basedOn w:val="Normalny"/>
    <w:link w:val="StopkaZnak"/>
    <w:uiPriority w:val="99"/>
    <w:unhideWhenUsed/>
    <w:rsid w:val="00FC133D"/>
    <w:pPr>
      <w:tabs>
        <w:tab w:val="center" w:pos="4536"/>
        <w:tab w:val="right" w:pos="9072"/>
      </w:tabs>
    </w:pPr>
  </w:style>
  <w:style w:type="character" w:customStyle="1" w:styleId="StopkaZnak">
    <w:name w:val="Stopka Znak"/>
    <w:basedOn w:val="Domylnaczcionkaakapitu"/>
    <w:link w:val="Stopka"/>
    <w:uiPriority w:val="99"/>
    <w:rsid w:val="00FC133D"/>
  </w:style>
  <w:style w:type="character" w:styleId="Numerstrony">
    <w:name w:val="page number"/>
    <w:basedOn w:val="Domylnaczcionkaakapitu"/>
    <w:uiPriority w:val="99"/>
    <w:semiHidden/>
    <w:unhideWhenUsed/>
    <w:rsid w:val="00FC133D"/>
  </w:style>
  <w:style w:type="paragraph" w:styleId="Nagwek">
    <w:name w:val="header"/>
    <w:basedOn w:val="Normalny"/>
    <w:link w:val="NagwekZnak"/>
    <w:uiPriority w:val="99"/>
    <w:unhideWhenUsed/>
    <w:rsid w:val="00FC133D"/>
    <w:pPr>
      <w:tabs>
        <w:tab w:val="center" w:pos="4536"/>
        <w:tab w:val="right" w:pos="9072"/>
      </w:tabs>
    </w:pPr>
  </w:style>
  <w:style w:type="character" w:customStyle="1" w:styleId="NagwekZnak">
    <w:name w:val="Nagłówek Znak"/>
    <w:basedOn w:val="Domylnaczcionkaakapitu"/>
    <w:link w:val="Nagwek"/>
    <w:uiPriority w:val="99"/>
    <w:rsid w:val="00FC1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10</Pages>
  <Words>4436</Words>
  <Characters>26621</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2</cp:revision>
  <dcterms:created xsi:type="dcterms:W3CDTF">2024-05-02T14:50:00Z</dcterms:created>
  <dcterms:modified xsi:type="dcterms:W3CDTF">2024-05-02T15:56:00Z</dcterms:modified>
</cp:coreProperties>
</file>