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319E14B2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227EB">
        <w:rPr>
          <w:rFonts w:cs="Arial"/>
          <w:b/>
          <w:bCs/>
          <w:szCs w:val="24"/>
        </w:rPr>
        <w:t>20</w:t>
      </w:r>
      <w:r>
        <w:rPr>
          <w:rFonts w:cs="Arial"/>
          <w:b/>
          <w:bCs/>
          <w:szCs w:val="24"/>
        </w:rPr>
        <w:t>/</w:t>
      </w:r>
      <w:r w:rsidR="00AA5688">
        <w:rPr>
          <w:rFonts w:cs="Arial"/>
          <w:b/>
          <w:bCs/>
          <w:szCs w:val="24"/>
        </w:rPr>
        <w:t>I</w:t>
      </w:r>
      <w:r w:rsidR="00EC444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24B400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="000227EB">
        <w:rPr>
          <w:rFonts w:cs="Arial"/>
          <w:szCs w:val="24"/>
        </w:rPr>
        <w:t xml:space="preserve"> </w:t>
      </w:r>
      <w:r w:rsidR="000227EB" w:rsidRPr="000227EB">
        <w:rPr>
          <w:rFonts w:cs="Arial"/>
          <w:b/>
          <w:bCs/>
          <w:szCs w:val="24"/>
        </w:rPr>
        <w:t>Utrzymanie w sprawności działania systemu sterowania ruchem UTCS w mieście Kraków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47A10F51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  <w:r w:rsidR="000227EB">
        <w:rPr>
          <w:rFonts w:cs="Arial"/>
          <w:b/>
          <w:bCs/>
          <w:szCs w:val="24"/>
        </w:rPr>
        <w:t xml:space="preserve"> </w:t>
      </w:r>
    </w:p>
    <w:p w14:paraId="5B5CDAC3" w14:textId="6B46C6D8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0227EB">
        <w:rPr>
          <w:rFonts w:cs="Arial"/>
          <w:szCs w:val="24"/>
        </w:rPr>
        <w:t>_______________________________</w:t>
      </w:r>
    </w:p>
    <w:p w14:paraId="0923A42E" w14:textId="7FD98BC1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0227EB">
        <w:rPr>
          <w:rFonts w:cs="Arial"/>
          <w:szCs w:val="24"/>
        </w:rPr>
        <w:t>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227EB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568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EC4447"/>
    <w:rsid w:val="00F148CB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18</cp:revision>
  <cp:lastPrinted>2023-02-14T08:55:00Z</cp:lastPrinted>
  <dcterms:created xsi:type="dcterms:W3CDTF">2023-02-17T12:25:00Z</dcterms:created>
  <dcterms:modified xsi:type="dcterms:W3CDTF">2023-03-24T11:30:00Z</dcterms:modified>
</cp:coreProperties>
</file>