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FF663" w14:textId="77777777" w:rsidR="004F778A" w:rsidRPr="004F778A" w:rsidRDefault="003123AC" w:rsidP="004F778A">
      <w:pPr>
        <w:spacing w:before="120" w:after="120"/>
        <w:jc w:val="right"/>
        <w:rPr>
          <w:szCs w:val="20"/>
        </w:rPr>
      </w:pPr>
      <w:r w:rsidRPr="004F778A">
        <w:t xml:space="preserve"> </w:t>
      </w:r>
      <w:r w:rsidR="004F778A" w:rsidRPr="004F778A">
        <w:rPr>
          <w:szCs w:val="20"/>
        </w:rPr>
        <w:t xml:space="preserve">Załącznik nr 3 – wzór umowy – </w:t>
      </w:r>
    </w:p>
    <w:p w14:paraId="0C4C04AB" w14:textId="6CCA3F45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F97442">
        <w:rPr>
          <w:szCs w:val="20"/>
        </w:rPr>
        <w:t>SPZP.</w:t>
      </w:r>
      <w:r w:rsidRPr="004F778A">
        <w:rPr>
          <w:szCs w:val="20"/>
        </w:rPr>
        <w:t>271.</w:t>
      </w:r>
      <w:r w:rsidR="00081E69">
        <w:rPr>
          <w:szCs w:val="20"/>
        </w:rPr>
        <w:t>31</w:t>
      </w:r>
      <w:r w:rsidRPr="004F778A">
        <w:rPr>
          <w:szCs w:val="20"/>
        </w:rPr>
        <w:t>.202</w:t>
      </w:r>
      <w:r w:rsidR="00C60045">
        <w:rPr>
          <w:szCs w:val="20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2BB1F18E" w:rsidR="004F778A" w:rsidRPr="004F778A" w:rsidRDefault="004F778A" w:rsidP="008E7C3B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2C101F">
        <w:rPr>
          <w:b/>
          <w:bCs/>
          <w:szCs w:val="20"/>
        </w:rPr>
        <w:t>j</w:t>
      </w:r>
      <w:r w:rsidR="002C101F" w:rsidRPr="002C101F">
        <w:rPr>
          <w:b/>
          <w:bCs/>
          <w:szCs w:val="20"/>
        </w:rPr>
        <w:t>ednorazow</w:t>
      </w:r>
      <w:r w:rsidR="002C101F">
        <w:rPr>
          <w:b/>
          <w:bCs/>
          <w:szCs w:val="20"/>
        </w:rPr>
        <w:t>ą</w:t>
      </w:r>
      <w:r w:rsidR="002C101F" w:rsidRPr="002C101F">
        <w:rPr>
          <w:b/>
          <w:bCs/>
          <w:szCs w:val="20"/>
        </w:rPr>
        <w:t xml:space="preserve"> dostaw</w:t>
      </w:r>
      <w:r w:rsidR="002C101F">
        <w:rPr>
          <w:b/>
          <w:bCs/>
          <w:szCs w:val="20"/>
        </w:rPr>
        <w:t>ę</w:t>
      </w:r>
      <w:r w:rsidR="002C101F" w:rsidRPr="002C101F">
        <w:rPr>
          <w:b/>
          <w:bCs/>
          <w:szCs w:val="20"/>
        </w:rPr>
        <w:t xml:space="preserve"> </w:t>
      </w:r>
      <w:r w:rsidR="008E7C3B" w:rsidRPr="008E7C3B">
        <w:rPr>
          <w:b/>
          <w:bCs/>
          <w:szCs w:val="20"/>
        </w:rPr>
        <w:t>podstawowych materiałów zużywalnych do laboratorium  na potrzeby Ogrodów Doświadczeń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5EBAC7E3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8E7C3B" w:rsidRPr="008E7C3B">
        <w:rPr>
          <w:szCs w:val="20"/>
        </w:rPr>
        <w:t xml:space="preserve">podstawowych materiałów zużywalnych do laboratorium  na potrzeby Ogrodów Doświadczeń </w:t>
      </w:r>
      <w:r w:rsidR="008E7C3B">
        <w:rPr>
          <w:szCs w:val="20"/>
        </w:rPr>
        <w:t>w zakresie</w:t>
      </w:r>
      <w:r w:rsidR="008E7C3B" w:rsidRPr="008E7C3B">
        <w:rPr>
          <w:szCs w:val="20"/>
        </w:rPr>
        <w:t xml:space="preserve"> części</w:t>
      </w:r>
      <w:r w:rsidR="008E7C3B">
        <w:rPr>
          <w:szCs w:val="20"/>
        </w:rPr>
        <w:t xml:space="preserve"> 2 pn. …………….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E471B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56A8E00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</w:t>
      </w:r>
      <w:r w:rsidR="00E75315" w:rsidRPr="00E75315">
        <w:rPr>
          <w:szCs w:val="20"/>
        </w:rPr>
        <w:t>jednorazow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dostaw</w:t>
      </w:r>
      <w:r w:rsidR="00E75315">
        <w:rPr>
          <w:szCs w:val="20"/>
        </w:rPr>
        <w:t>a</w:t>
      </w:r>
      <w:r w:rsidR="00E75315" w:rsidRPr="00E75315">
        <w:rPr>
          <w:szCs w:val="20"/>
        </w:rPr>
        <w:t xml:space="preserve"> </w:t>
      </w:r>
      <w:r w:rsidR="008E7C3B" w:rsidRPr="008E7C3B">
        <w:rPr>
          <w:szCs w:val="20"/>
        </w:rPr>
        <w:t>podstawowych materiałów zużywalnych do laboratorium  na potrzeby Ogrodów Doświadczeń</w:t>
      </w:r>
      <w:r w:rsidR="008E7C3B">
        <w:rPr>
          <w:szCs w:val="20"/>
        </w:rPr>
        <w:t xml:space="preserve"> w zakresie części nr …..</w:t>
      </w:r>
      <w:r w:rsidRPr="004F778A">
        <w:rPr>
          <w:szCs w:val="20"/>
        </w:rPr>
        <w:t>, 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190F42BD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</w:t>
      </w:r>
      <w:r w:rsidR="008E7C3B">
        <w:rPr>
          <w:szCs w:val="20"/>
        </w:rPr>
        <w:t xml:space="preserve">dla części nr ….. </w:t>
      </w:r>
      <w:r w:rsidRPr="004F778A">
        <w:rPr>
          <w:szCs w:val="20"/>
        </w:rPr>
        <w:t xml:space="preserve">wynosi do …… </w:t>
      </w:r>
      <w:r w:rsidR="008E7C3B">
        <w:rPr>
          <w:szCs w:val="20"/>
        </w:rPr>
        <w:t>tygodni</w:t>
      </w:r>
      <w:r w:rsidRPr="004F778A">
        <w:rPr>
          <w:szCs w:val="20"/>
        </w:rPr>
        <w:t xml:space="preserve"> </w:t>
      </w:r>
      <w:r w:rsidRPr="004F778A">
        <w:rPr>
          <w:i/>
          <w:iCs/>
          <w:szCs w:val="20"/>
        </w:rPr>
        <w:t>( w zależności od oferty Wykonawcy wpisać</w:t>
      </w:r>
      <w:r w:rsidRPr="004F778A">
        <w:rPr>
          <w:szCs w:val="20"/>
        </w:rPr>
        <w:t>) 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</w:t>
      </w:r>
      <w:r w:rsidRPr="004F778A">
        <w:rPr>
          <w:szCs w:val="20"/>
        </w:rPr>
        <w:lastRenderedPageBreak/>
        <w:t xml:space="preserve">zagranicznego), koszty ubezpieczenia (w kraju i za granicą) a konieczne do wykonania Umowy, obciążają Wykonawcę.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30D3CC0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500F690C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</w:t>
      </w:r>
      <w:proofErr w:type="spellStart"/>
      <w:r w:rsidRPr="004F778A">
        <w:rPr>
          <w:rFonts w:eastAsia="Times New Roman" w:cs="Segoe UI"/>
          <w:color w:val="auto"/>
          <w:szCs w:val="20"/>
          <w:shd w:val="clear" w:color="auto" w:fill="FFFFFF"/>
        </w:rPr>
        <w:t>zd</w:t>
      </w:r>
      <w:proofErr w:type="spellEnd"/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. </w:t>
      </w:r>
      <w:r w:rsidR="00CD6EF0" w:rsidRPr="004F778A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</w:t>
      </w:r>
      <w:r w:rsidR="00A923DD">
        <w:rPr>
          <w:rFonts w:eastAsia="Times New Roman" w:cs="Segoe UI"/>
          <w:color w:val="auto"/>
          <w:szCs w:val="20"/>
          <w:shd w:val="clear" w:color="auto" w:fill="FFFFFF"/>
        </w:rPr>
        <w:t>7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ust. 2  pkt</w:t>
      </w:r>
      <w:r w:rsidR="008D02AD">
        <w:rPr>
          <w:rFonts w:eastAsia="Times New Roman" w:cs="Segoe UI"/>
          <w:color w:val="auto"/>
          <w:szCs w:val="20"/>
          <w:shd w:val="clear" w:color="auto" w:fill="FFFFFF"/>
        </w:rPr>
        <w:t xml:space="preserve"> 2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>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68C6FCC6" w:rsidR="004F778A" w:rsidRPr="005C4549" w:rsidRDefault="004F778A" w:rsidP="005C4549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szCs w:val="20"/>
        </w:rPr>
      </w:pPr>
      <w:r w:rsidRPr="005C4549">
        <w:rPr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5C4549">
        <w:rPr>
          <w:szCs w:val="20"/>
        </w:rPr>
        <w:t xml:space="preserve">wymienioną </w:t>
      </w:r>
      <w:r w:rsidRPr="005C4549">
        <w:rPr>
          <w:szCs w:val="20"/>
        </w:rPr>
        <w:t>podstaw</w:t>
      </w:r>
      <w:r w:rsidR="0049107E" w:rsidRPr="005C4549">
        <w:rPr>
          <w:szCs w:val="20"/>
        </w:rPr>
        <w:t>ę</w:t>
      </w:r>
      <w:r w:rsidRPr="005C4549">
        <w:rPr>
          <w:szCs w:val="20"/>
        </w:rPr>
        <w:t xml:space="preserve">, Zamawiający jest uprawniony do rozwiązania Umowy w trybie natychmiastowym z winy Wykonawcy. </w:t>
      </w:r>
    </w:p>
    <w:p w14:paraId="659D90C0" w14:textId="77777777" w:rsidR="005C4549" w:rsidRPr="005C4549" w:rsidRDefault="005C4549" w:rsidP="005C4549">
      <w:pPr>
        <w:pStyle w:val="Akapitzlist"/>
        <w:spacing w:before="120" w:after="120"/>
        <w:rPr>
          <w:szCs w:val="20"/>
        </w:rPr>
      </w:pP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</w:t>
      </w:r>
      <w:r w:rsidRPr="004F778A">
        <w:rPr>
          <w:szCs w:val="20"/>
        </w:rPr>
        <w:lastRenderedPageBreak/>
        <w:t xml:space="preserve">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56682F4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</w:t>
      </w:r>
      <w:r w:rsidRPr="004F778A">
        <w:rPr>
          <w:szCs w:val="20"/>
        </w:rPr>
        <w:lastRenderedPageBreak/>
        <w:t>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8BAA0A8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7A20B583" w14:textId="77777777" w:rsidR="008E7C3B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</w:t>
      </w:r>
      <w:r w:rsidR="008E7C3B">
        <w:rPr>
          <w:szCs w:val="20"/>
        </w:rPr>
        <w:t xml:space="preserve">, </w:t>
      </w:r>
      <w:r w:rsidRPr="004F778A">
        <w:rPr>
          <w:szCs w:val="20"/>
        </w:rPr>
        <w:t xml:space="preserve"> [……………]netto (słownie: …………….), powiększone o należy podatek VAT tj. ….. [] brutto (słownie: ……………………)</w:t>
      </w:r>
      <w:r w:rsidR="008E7C3B">
        <w:rPr>
          <w:szCs w:val="20"/>
        </w:rPr>
        <w:t>, przy czym:</w:t>
      </w:r>
    </w:p>
    <w:p w14:paraId="101AD70D" w14:textId="382EE5FF" w:rsidR="00E5138F" w:rsidRPr="00E5138F" w:rsidRDefault="00E5138F" w:rsidP="00E5138F">
      <w:pPr>
        <w:spacing w:before="120" w:after="120"/>
        <w:ind w:left="284" w:hanging="284"/>
        <w:rPr>
          <w:szCs w:val="20"/>
        </w:rPr>
      </w:pPr>
      <w:r>
        <w:rPr>
          <w:szCs w:val="20"/>
        </w:rPr>
        <w:lastRenderedPageBreak/>
        <w:t xml:space="preserve">-  </w:t>
      </w:r>
      <w:r w:rsidRPr="00E5138F">
        <w:rPr>
          <w:szCs w:val="20"/>
        </w:rPr>
        <w:t xml:space="preserve">dla części 1: </w:t>
      </w:r>
      <w:r>
        <w:rPr>
          <w:szCs w:val="20"/>
        </w:rPr>
        <w:t>……………..</w:t>
      </w:r>
      <w:r w:rsidRPr="00E5138F">
        <w:rPr>
          <w:szCs w:val="20"/>
        </w:rPr>
        <w:t xml:space="preserve"> zł netto (słownie: </w:t>
      </w:r>
      <w:r>
        <w:rPr>
          <w:szCs w:val="20"/>
        </w:rPr>
        <w:t>…………………….</w:t>
      </w:r>
      <w:r w:rsidRPr="00E5138F">
        <w:rPr>
          <w:szCs w:val="20"/>
        </w:rPr>
        <w:t xml:space="preserve">), powiększone o należny podatek VAT tj. </w:t>
      </w:r>
      <w:r>
        <w:rPr>
          <w:szCs w:val="20"/>
        </w:rPr>
        <w:t>…………….</w:t>
      </w:r>
      <w:r w:rsidRPr="00E5138F">
        <w:rPr>
          <w:szCs w:val="20"/>
        </w:rPr>
        <w:t xml:space="preserve"> zł brutto (słownie: </w:t>
      </w:r>
      <w:r>
        <w:rPr>
          <w:szCs w:val="20"/>
        </w:rPr>
        <w:t>………………….</w:t>
      </w:r>
      <w:r w:rsidRPr="00E5138F">
        <w:rPr>
          <w:szCs w:val="20"/>
        </w:rPr>
        <w:t>);</w:t>
      </w:r>
    </w:p>
    <w:p w14:paraId="4FCF2640" w14:textId="7D302E63" w:rsidR="00E5138F" w:rsidRDefault="00E5138F" w:rsidP="00E5138F">
      <w:pPr>
        <w:spacing w:before="120" w:after="120"/>
        <w:ind w:left="284" w:hanging="284"/>
        <w:rPr>
          <w:szCs w:val="20"/>
        </w:rPr>
      </w:pPr>
      <w:r w:rsidRPr="00E5138F">
        <w:rPr>
          <w:szCs w:val="20"/>
        </w:rPr>
        <w:t xml:space="preserve">- dla części 2: </w:t>
      </w:r>
      <w:r>
        <w:rPr>
          <w:szCs w:val="20"/>
        </w:rPr>
        <w:t>……………………………</w:t>
      </w:r>
      <w:r w:rsidRPr="00E5138F">
        <w:rPr>
          <w:szCs w:val="20"/>
        </w:rPr>
        <w:t xml:space="preserve"> zł netto (słownie: </w:t>
      </w:r>
      <w:r>
        <w:rPr>
          <w:szCs w:val="20"/>
        </w:rPr>
        <w:t>……………………………</w:t>
      </w:r>
      <w:r w:rsidRPr="00E5138F">
        <w:rPr>
          <w:szCs w:val="20"/>
        </w:rPr>
        <w:t xml:space="preserve">) powiększone o należny podatek VAT tj. </w:t>
      </w:r>
      <w:r>
        <w:rPr>
          <w:szCs w:val="20"/>
        </w:rPr>
        <w:t>………………………</w:t>
      </w:r>
      <w:r w:rsidRPr="00E5138F">
        <w:rPr>
          <w:szCs w:val="20"/>
        </w:rPr>
        <w:t xml:space="preserve"> zł brutto (słownie: </w:t>
      </w:r>
      <w:r>
        <w:rPr>
          <w:szCs w:val="20"/>
        </w:rPr>
        <w:t>…………………………………………</w:t>
      </w:r>
      <w:r w:rsidRPr="00E5138F">
        <w:rPr>
          <w:szCs w:val="20"/>
        </w:rPr>
        <w:t>)</w:t>
      </w:r>
      <w:r>
        <w:rPr>
          <w:szCs w:val="20"/>
        </w:rPr>
        <w:t>.</w:t>
      </w:r>
      <w:r>
        <w:rPr>
          <w:rStyle w:val="Odwoanieprzypisudolnego"/>
          <w:szCs w:val="20"/>
        </w:rPr>
        <w:footnoteReference w:id="1"/>
      </w:r>
    </w:p>
    <w:p w14:paraId="398806B9" w14:textId="1E020D91" w:rsidR="004F778A" w:rsidRPr="004F778A" w:rsidRDefault="004F778A" w:rsidP="00E5138F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6.</w:t>
      </w:r>
      <w:r w:rsidRPr="004F778A">
        <w:rPr>
          <w:szCs w:val="20"/>
        </w:rPr>
        <w:tab/>
        <w:t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A3DDAB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15.</w:t>
      </w:r>
      <w:r w:rsidRPr="004F778A">
        <w:rPr>
          <w:szCs w:val="20"/>
        </w:rPr>
        <w:tab/>
        <w:t>Do składania ustrukturyzowanych faktur elektronicznych stosuje się przepisy ustawy z dnia 09.11.2018 r. o elektronicznym fakturowaniu w zamówieniach publicznych, koncesjach na roboty budowlane lub usługi oraz partnerstwie publiczno-prywatnym</w:t>
      </w:r>
      <w:r w:rsidR="004366DC">
        <w:rPr>
          <w:szCs w:val="20"/>
        </w:rPr>
        <w:t>.</w:t>
      </w:r>
      <w:r w:rsidRPr="004F778A">
        <w:rPr>
          <w:szCs w:val="20"/>
        </w:rPr>
        <w:t xml:space="preserve">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37D64C2C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045C0A4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lastRenderedPageBreak/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19FE3321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po stronie Zamawiającego</w:t>
      </w:r>
      <w:r w:rsidR="00BC1F09">
        <w:rPr>
          <w:szCs w:val="20"/>
        </w:rPr>
        <w:t xml:space="preserve">: </w:t>
      </w:r>
      <w:r w:rsidR="00F70344">
        <w:rPr>
          <w:szCs w:val="20"/>
        </w:rPr>
        <w:t>……………………..</w:t>
      </w:r>
      <w:r w:rsidRPr="004F778A">
        <w:rPr>
          <w:szCs w:val="20"/>
        </w:rPr>
        <w:t>, tel</w:t>
      </w:r>
      <w:r w:rsidR="003C0E41">
        <w:rPr>
          <w:szCs w:val="20"/>
        </w:rPr>
        <w:t>.</w:t>
      </w:r>
      <w:r w:rsidR="00BC1F09" w:rsidRPr="00BC1F09">
        <w:rPr>
          <w:szCs w:val="20"/>
        </w:rPr>
        <w:t xml:space="preserve"> </w:t>
      </w:r>
      <w:r w:rsidR="00F70344">
        <w:rPr>
          <w:szCs w:val="20"/>
        </w:rPr>
        <w:t>…………………</w:t>
      </w:r>
      <w:r w:rsidRPr="004F778A">
        <w:rPr>
          <w:szCs w:val="20"/>
        </w:rPr>
        <w:t xml:space="preserve">, </w:t>
      </w:r>
      <w:r w:rsidR="003C0E41">
        <w:rPr>
          <w:szCs w:val="20"/>
        </w:rPr>
        <w:br/>
      </w:r>
      <w:r w:rsidRPr="004F778A">
        <w:rPr>
          <w:szCs w:val="20"/>
        </w:rPr>
        <w:t xml:space="preserve">e-mail: </w:t>
      </w:r>
      <w:hyperlink r:id="rId8" w:tooltip="natalia.frankiewicz@port.lukasiewicz.gov.pl" w:history="1">
        <w:r w:rsidR="00F70344">
          <w:rPr>
            <w:rStyle w:val="Hipercze"/>
          </w:rPr>
          <w:t>…………………………………….</w:t>
        </w:r>
      </w:hyperlink>
      <w:r w:rsidR="003C0E41">
        <w:rPr>
          <w:szCs w:val="20"/>
        </w:rPr>
        <w:t xml:space="preserve"> </w:t>
      </w:r>
    </w:p>
    <w:p w14:paraId="3B637067" w14:textId="77777777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lastRenderedPageBreak/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15B36974" w14:textId="77777777" w:rsidR="004A1A1D" w:rsidRPr="004F778A" w:rsidRDefault="004A1A1D" w:rsidP="005C4549">
      <w:pPr>
        <w:spacing w:before="120" w:after="120"/>
        <w:ind w:left="426" w:hanging="426"/>
        <w:rPr>
          <w:szCs w:val="20"/>
        </w:rPr>
      </w:pP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gdy nastąpią przestoje lub opóźnienia zawinione przez Zamawiającego, mające bezpośredni wpływ na terminowość wykonania przedmiotu Umowy, powodujące zmianę terminu jej </w:t>
      </w:r>
      <w:r w:rsidRPr="004F778A">
        <w:rPr>
          <w:szCs w:val="20"/>
        </w:rPr>
        <w:lastRenderedPageBreak/>
        <w:t>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 xml:space="preserve"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</w:t>
      </w:r>
      <w:r w:rsidRPr="004F778A">
        <w:rPr>
          <w:szCs w:val="20"/>
        </w:rPr>
        <w:lastRenderedPageBreak/>
        <w:t>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368CC74D" w14:textId="77777777" w:rsidR="004A1A1D" w:rsidRPr="0093791D" w:rsidRDefault="004A1A1D" w:rsidP="004A1A1D">
      <w:pPr>
        <w:tabs>
          <w:tab w:val="left" w:pos="567"/>
          <w:tab w:val="left" w:pos="1134"/>
        </w:tabs>
        <w:suppressAutoHyphens/>
        <w:spacing w:after="0" w:line="276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93791D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Wydatki związane z postępowaniem o udzielnie zamówienia publicznego będą ponoszone między innymi ze środków projektowych następujących źródeł finansowania: </w:t>
      </w:r>
    </w:p>
    <w:p w14:paraId="51C6A4B2" w14:textId="77777777" w:rsidR="004A1A1D" w:rsidRDefault="004A1A1D" w:rsidP="004A1A1D">
      <w:pPr>
        <w:spacing w:before="120" w:after="120" w:line="240" w:lineRule="auto"/>
        <w:jc w:val="left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93791D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Projekt dofinansowany ze środków budżetu państwa, przyznanych przez Ministra Edukacji i Nauki w ramach Programu „Społeczna odpowiedzialność nauki II”, na podstawie umowy nr. POPUL/SN/0336/2023/01</w:t>
      </w:r>
      <w:r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,</w:t>
      </w:r>
    </w:p>
    <w:p w14:paraId="4CA924B1" w14:textId="77777777" w:rsidR="004A1A1D" w:rsidRPr="0093791D" w:rsidRDefault="004A1A1D" w:rsidP="004A1A1D">
      <w:pPr>
        <w:spacing w:before="120" w:after="120" w:line="240" w:lineRule="auto"/>
        <w:jc w:val="left"/>
      </w:pPr>
    </w:p>
    <w:p w14:paraId="0FF186F3" w14:textId="77777777" w:rsidR="004A1A1D" w:rsidRDefault="004A1A1D" w:rsidP="004A1A1D">
      <w:pPr>
        <w:tabs>
          <w:tab w:val="left" w:pos="284"/>
        </w:tabs>
        <w:spacing w:before="120" w:after="120" w:line="240" w:lineRule="auto"/>
        <w:rPr>
          <w:bCs/>
        </w:rPr>
      </w:pPr>
      <w:r>
        <w:rPr>
          <w:bCs/>
        </w:rPr>
        <w:t>a także przyszłych projektów, o które ubiega się Zamawiający, a które będą mogły brać udział w finansowaniu wydatków objętych Umową oraz w ramach kosztów własnych Zamawiającego.</w:t>
      </w:r>
    </w:p>
    <w:p w14:paraId="093465C9" w14:textId="77777777" w:rsidR="002C101F" w:rsidRDefault="002C101F" w:rsidP="002C101F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</w:p>
    <w:p w14:paraId="0E2F30A6" w14:textId="15D3B75C" w:rsidR="004F778A" w:rsidRPr="004F778A" w:rsidRDefault="004F778A" w:rsidP="002C101F">
      <w:pPr>
        <w:tabs>
          <w:tab w:val="left" w:pos="567"/>
          <w:tab w:val="left" w:pos="1134"/>
        </w:tabs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lastRenderedPageBreak/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23C0CC42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0A9174BE" w14:textId="77777777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9"/>
          <w:footerReference w:type="default" r:id="rId10"/>
          <w:footerReference w:type="first" r:id="rId11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lastRenderedPageBreak/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6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2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lastRenderedPageBreak/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570B796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F70344">
        <w:rPr>
          <w:b/>
          <w:bCs/>
          <w:szCs w:val="20"/>
        </w:rPr>
        <w:t>„Jednorazowa</w:t>
      </w:r>
      <w:r w:rsidR="00F70344" w:rsidRPr="002C101F">
        <w:rPr>
          <w:b/>
          <w:bCs/>
          <w:szCs w:val="20"/>
        </w:rPr>
        <w:t xml:space="preserve"> dostaw</w:t>
      </w:r>
      <w:r w:rsidR="00F70344">
        <w:rPr>
          <w:b/>
          <w:bCs/>
          <w:szCs w:val="20"/>
        </w:rPr>
        <w:t>a</w:t>
      </w:r>
      <w:r w:rsidR="00F70344" w:rsidRPr="002C101F">
        <w:rPr>
          <w:b/>
          <w:bCs/>
          <w:szCs w:val="20"/>
        </w:rPr>
        <w:t xml:space="preserve"> </w:t>
      </w:r>
      <w:r w:rsidR="00F70344" w:rsidRPr="008E7C3B">
        <w:rPr>
          <w:b/>
          <w:bCs/>
          <w:szCs w:val="20"/>
        </w:rPr>
        <w:t>podstawowych materiałów zużywalnych do laboratorium  na potrzeby Ogrodów Doświadczeń z podziałem na 2 części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3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organów 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y Państwa dane od Państwa pracodawcy lub 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publicznego. Konsekwencje niepodania określonych 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zamówienia publicznego lub innego tego postępowania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 przepisy ustawy 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6F3013AC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obowiązywania umowy zawartej w wyniku tego postępowania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</w:t>
            </w:r>
            <w:r w:rsidR="00F7034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 w imieniu Wykonawcy (np. osoby faktycznie dokonujące prac instalacji zakupionego sprzętu na terenie Administratora) lub osób wskazanych w 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bezpośrednio albo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wykonywanie umowy w wyniku udzielenia zamówienia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jednak nie krócej niż do czasu przedawnienia wszelkich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4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Zgodnie z art. 75 PZP w przypadku korzystania przez osobę, której dane osobowe są przetwarzane przez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footerReference w:type="default" r:id="rId15"/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86ACA" w14:textId="77777777" w:rsidR="00C35711" w:rsidRDefault="00C35711" w:rsidP="006747BD">
      <w:pPr>
        <w:spacing w:after="0" w:line="240" w:lineRule="auto"/>
      </w:pPr>
      <w:r>
        <w:separator/>
      </w:r>
    </w:p>
  </w:endnote>
  <w:endnote w:type="continuationSeparator" w:id="0">
    <w:p w14:paraId="7B744A60" w14:textId="77777777" w:rsidR="00C35711" w:rsidRDefault="00C3571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7CEA2944" w:rsidR="00A965B4" w:rsidRDefault="004A1A1D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E3E14B5" wp14:editId="6EAD391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152400</wp:posOffset>
                  </wp:positionV>
                  <wp:extent cx="1933575" cy="601345"/>
                  <wp:effectExtent l="0" t="0" r="0" b="0"/>
                  <wp:wrapSquare wrapText="bothSides"/>
                  <wp:docPr id="24520875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67449A7" wp14:editId="363A4FEE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303530</wp:posOffset>
                  </wp:positionV>
                  <wp:extent cx="3391535" cy="457200"/>
                  <wp:effectExtent l="0" t="0" r="0" b="0"/>
                  <wp:wrapSquare wrapText="bothSides"/>
                  <wp:docPr id="65661015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5B4">
              <w:tab/>
            </w:r>
          </w:p>
          <w:p w14:paraId="439CA89A" w14:textId="18B851D2" w:rsidR="00A965B4" w:rsidRDefault="00A965B4">
            <w:pPr>
              <w:pStyle w:val="Stopka"/>
            </w:pP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505B85F7" w:rsidR="00C54F92" w:rsidRDefault="004A1A1D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434D3A5" wp14:editId="76412133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-86995</wp:posOffset>
                  </wp:positionV>
                  <wp:extent cx="3391535" cy="457200"/>
                  <wp:effectExtent l="0" t="0" r="0" b="0"/>
                  <wp:wrapSquare wrapText="bothSides"/>
                  <wp:docPr id="19234591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3338B32" wp14:editId="0AB45735">
                  <wp:simplePos x="0" y="0"/>
                  <wp:positionH relativeFrom="margin">
                    <wp:posOffset>-236855</wp:posOffset>
                  </wp:positionH>
                  <wp:positionV relativeFrom="paragraph">
                    <wp:posOffset>-125095</wp:posOffset>
                  </wp:positionV>
                  <wp:extent cx="1933575" cy="601345"/>
                  <wp:effectExtent l="0" t="0" r="0" b="0"/>
                  <wp:wrapSquare wrapText="bothSides"/>
                  <wp:docPr id="20777997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F92">
              <w:tab/>
            </w:r>
          </w:p>
          <w:p w14:paraId="4D8FA46E" w14:textId="445C2720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3C82E0BC" w:rsidR="00C54F92" w:rsidRDefault="004A1A1D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3F44E2A" wp14:editId="4E6747C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152400</wp:posOffset>
                  </wp:positionV>
                  <wp:extent cx="1933575" cy="601345"/>
                  <wp:effectExtent l="0" t="0" r="0" b="0"/>
                  <wp:wrapSquare wrapText="bothSides"/>
                  <wp:docPr id="41187748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B393857" wp14:editId="0D335167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303530</wp:posOffset>
                  </wp:positionV>
                  <wp:extent cx="3391535" cy="457200"/>
                  <wp:effectExtent l="0" t="0" r="0" b="0"/>
                  <wp:wrapSquare wrapText="bothSides"/>
                  <wp:docPr id="35895305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F92">
              <w:tab/>
            </w:r>
          </w:p>
          <w:p w14:paraId="6F39C2C3" w14:textId="1C953FEC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A1AA2" w14:textId="77777777" w:rsidR="00C35711" w:rsidRDefault="00C35711" w:rsidP="006747BD">
      <w:pPr>
        <w:spacing w:after="0" w:line="240" w:lineRule="auto"/>
      </w:pPr>
      <w:r>
        <w:separator/>
      </w:r>
    </w:p>
  </w:footnote>
  <w:footnote w:type="continuationSeparator" w:id="0">
    <w:p w14:paraId="082E5BC5" w14:textId="77777777" w:rsidR="00C35711" w:rsidRDefault="00C35711" w:rsidP="006747BD">
      <w:pPr>
        <w:spacing w:after="0" w:line="240" w:lineRule="auto"/>
      </w:pPr>
      <w:r>
        <w:continuationSeparator/>
      </w:r>
    </w:p>
  </w:footnote>
  <w:footnote w:id="1">
    <w:p w14:paraId="3C708DF7" w14:textId="6313A5BA" w:rsidR="00E5138F" w:rsidRDefault="00E513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3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4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5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6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294465">
    <w:abstractNumId w:val="9"/>
  </w:num>
  <w:num w:numId="2" w16cid:durableId="606425462">
    <w:abstractNumId w:val="8"/>
  </w:num>
  <w:num w:numId="3" w16cid:durableId="1388458384">
    <w:abstractNumId w:val="3"/>
  </w:num>
  <w:num w:numId="4" w16cid:durableId="1412046972">
    <w:abstractNumId w:val="2"/>
  </w:num>
  <w:num w:numId="5" w16cid:durableId="2060083709">
    <w:abstractNumId w:val="1"/>
  </w:num>
  <w:num w:numId="6" w16cid:durableId="381708359">
    <w:abstractNumId w:val="0"/>
  </w:num>
  <w:num w:numId="7" w16cid:durableId="287123124">
    <w:abstractNumId w:val="7"/>
  </w:num>
  <w:num w:numId="8" w16cid:durableId="778332979">
    <w:abstractNumId w:val="6"/>
  </w:num>
  <w:num w:numId="9" w16cid:durableId="842235613">
    <w:abstractNumId w:val="5"/>
  </w:num>
  <w:num w:numId="10" w16cid:durableId="1877237433">
    <w:abstractNumId w:val="4"/>
  </w:num>
  <w:num w:numId="11" w16cid:durableId="536044482">
    <w:abstractNumId w:val="13"/>
  </w:num>
  <w:num w:numId="12" w16cid:durableId="678580871">
    <w:abstractNumId w:val="15"/>
  </w:num>
  <w:num w:numId="13" w16cid:durableId="905602999">
    <w:abstractNumId w:val="16"/>
  </w:num>
  <w:num w:numId="14" w16cid:durableId="1005784488">
    <w:abstractNumId w:val="11"/>
  </w:num>
  <w:num w:numId="15" w16cid:durableId="640887261">
    <w:abstractNumId w:val="14"/>
  </w:num>
  <w:num w:numId="16" w16cid:durableId="1431119460">
    <w:abstractNumId w:val="12"/>
  </w:num>
  <w:num w:numId="17" w16cid:durableId="212936032">
    <w:abstractNumId w:val="17"/>
  </w:num>
  <w:num w:numId="18" w16cid:durableId="1420643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1E69"/>
    <w:rsid w:val="000D2F0F"/>
    <w:rsid w:val="0013181E"/>
    <w:rsid w:val="00133D8A"/>
    <w:rsid w:val="00134929"/>
    <w:rsid w:val="00153498"/>
    <w:rsid w:val="0016603A"/>
    <w:rsid w:val="001A0BD2"/>
    <w:rsid w:val="001E0696"/>
    <w:rsid w:val="00231524"/>
    <w:rsid w:val="00244538"/>
    <w:rsid w:val="002C101F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C0E41"/>
    <w:rsid w:val="003F342A"/>
    <w:rsid w:val="003F4BA3"/>
    <w:rsid w:val="004366DC"/>
    <w:rsid w:val="0044697B"/>
    <w:rsid w:val="0049107E"/>
    <w:rsid w:val="004A1A1D"/>
    <w:rsid w:val="004F5805"/>
    <w:rsid w:val="004F778A"/>
    <w:rsid w:val="00526CDD"/>
    <w:rsid w:val="00537203"/>
    <w:rsid w:val="005823F1"/>
    <w:rsid w:val="005C4549"/>
    <w:rsid w:val="005D102F"/>
    <w:rsid w:val="005D1495"/>
    <w:rsid w:val="005D605E"/>
    <w:rsid w:val="005E65BB"/>
    <w:rsid w:val="00623116"/>
    <w:rsid w:val="006742C2"/>
    <w:rsid w:val="006747BD"/>
    <w:rsid w:val="006919BD"/>
    <w:rsid w:val="006D6DE5"/>
    <w:rsid w:val="006E5990"/>
    <w:rsid w:val="006F645A"/>
    <w:rsid w:val="00764305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02AD"/>
    <w:rsid w:val="008E7C3B"/>
    <w:rsid w:val="008F027B"/>
    <w:rsid w:val="008F0B16"/>
    <w:rsid w:val="008F209D"/>
    <w:rsid w:val="00990BC8"/>
    <w:rsid w:val="0099379C"/>
    <w:rsid w:val="009D4C4D"/>
    <w:rsid w:val="009E1018"/>
    <w:rsid w:val="00A34B19"/>
    <w:rsid w:val="00A36F46"/>
    <w:rsid w:val="00A4666C"/>
    <w:rsid w:val="00A508A0"/>
    <w:rsid w:val="00A52C29"/>
    <w:rsid w:val="00A923DD"/>
    <w:rsid w:val="00A965B4"/>
    <w:rsid w:val="00AC7BB3"/>
    <w:rsid w:val="00AD5FEB"/>
    <w:rsid w:val="00B61F8A"/>
    <w:rsid w:val="00B85FBC"/>
    <w:rsid w:val="00BA289E"/>
    <w:rsid w:val="00BB5F69"/>
    <w:rsid w:val="00BC1F09"/>
    <w:rsid w:val="00C35711"/>
    <w:rsid w:val="00C54F92"/>
    <w:rsid w:val="00C60045"/>
    <w:rsid w:val="00C63526"/>
    <w:rsid w:val="00C736D5"/>
    <w:rsid w:val="00CD6EF0"/>
    <w:rsid w:val="00D005B3"/>
    <w:rsid w:val="00D06D36"/>
    <w:rsid w:val="00D40690"/>
    <w:rsid w:val="00DA52A1"/>
    <w:rsid w:val="00DD26E1"/>
    <w:rsid w:val="00DD6169"/>
    <w:rsid w:val="00DE3935"/>
    <w:rsid w:val="00E471BF"/>
    <w:rsid w:val="00E5138F"/>
    <w:rsid w:val="00E55F59"/>
    <w:rsid w:val="00E75315"/>
    <w:rsid w:val="00ED7972"/>
    <w:rsid w:val="00EE493C"/>
    <w:rsid w:val="00F24B27"/>
    <w:rsid w:val="00F70344"/>
    <w:rsid w:val="00F97442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frankiewicz@port.lukasiewicz.gov.pl" TargetMode="External"/><Relationship Id="rId13" Type="http://schemas.openxmlformats.org/officeDocument/2006/relationships/hyperlink" Target="mailto:iod@por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ivacy.microsoft.com/pl-pl/privacystatem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6281</Words>
  <Characters>37687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16</cp:revision>
  <cp:lastPrinted>2023-08-24T10:03:00Z</cp:lastPrinted>
  <dcterms:created xsi:type="dcterms:W3CDTF">2024-03-06T10:23:00Z</dcterms:created>
  <dcterms:modified xsi:type="dcterms:W3CDTF">2024-03-25T11:13:00Z</dcterms:modified>
</cp:coreProperties>
</file>