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C109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16835EB9" w14:textId="77777777" w:rsidR="009D4FD2" w:rsidRPr="009D4FD2" w:rsidRDefault="009D4FD2" w:rsidP="009D4FD2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9D4FD2">
        <w:rPr>
          <w:rFonts w:asciiTheme="minorHAnsi" w:hAnsiTheme="minorHAnsi" w:cstheme="minorHAnsi"/>
          <w:kern w:val="0"/>
          <w:sz w:val="22"/>
        </w:rPr>
        <w:t>Dopiewo, dnia 28.04.2022r.</w:t>
      </w:r>
    </w:p>
    <w:p w14:paraId="48D59AA0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</w:rPr>
        <w:t>ROA.271.9.2022</w:t>
      </w:r>
    </w:p>
    <w:p w14:paraId="4599C78A" w14:textId="77777777" w:rsidR="009D4FD2" w:rsidRPr="009D4FD2" w:rsidRDefault="009D4FD2" w:rsidP="009D4FD2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3788C3B0" w14:textId="77777777" w:rsidR="009D4FD2" w:rsidRPr="009D4FD2" w:rsidRDefault="009D4FD2" w:rsidP="009D4FD2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14C80684" w14:textId="77777777" w:rsidR="009D4FD2" w:rsidRPr="009D4FD2" w:rsidRDefault="009D4FD2" w:rsidP="009D4FD2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9D4FD2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9D4FD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9D4FD2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9D4FD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58AEA5AE" w14:textId="77777777" w:rsidR="009D4FD2" w:rsidRPr="009D4FD2" w:rsidRDefault="009D4FD2" w:rsidP="009D4FD2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3F16F919" w14:textId="77777777" w:rsidR="009D4FD2" w:rsidRPr="009D4FD2" w:rsidRDefault="009D4FD2" w:rsidP="009D4FD2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9D4FD2">
        <w:rPr>
          <w:rFonts w:asciiTheme="minorHAnsi" w:hAnsiTheme="minorHAnsi" w:cstheme="minorHAnsi"/>
          <w:kern w:val="0"/>
          <w:sz w:val="22"/>
        </w:rPr>
        <w:t xml:space="preserve">Działając zgodnie z art. 284 ust. 2 </w:t>
      </w:r>
      <w:proofErr w:type="spellStart"/>
      <w:r w:rsidRPr="009D4FD2">
        <w:rPr>
          <w:rFonts w:asciiTheme="minorHAnsi" w:hAnsiTheme="minorHAnsi" w:cstheme="minorHAnsi"/>
          <w:kern w:val="0"/>
          <w:sz w:val="22"/>
        </w:rPr>
        <w:t>Pzp</w:t>
      </w:r>
      <w:proofErr w:type="spellEnd"/>
      <w:r w:rsidRPr="009D4FD2">
        <w:rPr>
          <w:rFonts w:asciiTheme="minorHAnsi" w:hAnsiTheme="minorHAnsi" w:cstheme="minorHAnsi"/>
          <w:kern w:val="0"/>
          <w:sz w:val="22"/>
        </w:rPr>
        <w:t xml:space="preserve"> Zamawiający udziela odpowiedzi na pytania, które zostały złożone do treści SWZ :</w:t>
      </w:r>
    </w:p>
    <w:p w14:paraId="6F5F1BB5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2EB6D09D" w14:textId="77777777" w:rsidR="009D4FD2" w:rsidRPr="009D4FD2" w:rsidRDefault="009D4FD2" w:rsidP="009D4FD2">
      <w:pPr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  <w:lang w:eastAsia="pl-PL"/>
        </w:rPr>
        <w:t xml:space="preserve">Pytanie nr 1. </w:t>
      </w:r>
      <w:r w:rsidRPr="009D4FD2">
        <w:rPr>
          <w:rFonts w:asciiTheme="minorHAnsi" w:hAnsiTheme="minorHAnsi" w:cstheme="minorHAnsi"/>
          <w:kern w:val="0"/>
          <w:sz w:val="22"/>
          <w:lang w:eastAsia="pl-PL"/>
        </w:rPr>
        <w:t xml:space="preserve">Czy Zmawiający wymaga przekazania otwartych kodów źródłowych aplikacji sterownika i </w:t>
      </w:r>
      <w:proofErr w:type="spellStart"/>
      <w:r w:rsidRPr="009D4FD2">
        <w:rPr>
          <w:rFonts w:asciiTheme="minorHAnsi" w:hAnsiTheme="minorHAnsi" w:cstheme="minorHAnsi"/>
          <w:kern w:val="0"/>
          <w:sz w:val="22"/>
          <w:lang w:eastAsia="pl-PL"/>
        </w:rPr>
        <w:t>Panela</w:t>
      </w:r>
      <w:proofErr w:type="spellEnd"/>
      <w:r w:rsidRPr="009D4FD2">
        <w:rPr>
          <w:rFonts w:asciiTheme="minorHAnsi" w:hAnsiTheme="minorHAnsi" w:cstheme="minorHAnsi"/>
          <w:kern w:val="0"/>
          <w:sz w:val="22"/>
          <w:lang w:eastAsia="pl-PL"/>
        </w:rPr>
        <w:t>, oraz czy Wykonawca jest zobowiązany przenieść prawa autorskie na Zamawiającego?</w:t>
      </w:r>
    </w:p>
    <w:p w14:paraId="366DD334" w14:textId="77777777" w:rsidR="009D4FD2" w:rsidRPr="009D4FD2" w:rsidRDefault="009D4FD2" w:rsidP="009D4FD2">
      <w:pPr>
        <w:spacing w:after="0" w:line="240" w:lineRule="auto"/>
        <w:rPr>
          <w:rFonts w:asciiTheme="minorHAnsi" w:hAnsiTheme="minorHAnsi" w:cstheme="minorHAnsi"/>
          <w:kern w:val="0"/>
          <w:sz w:val="22"/>
          <w:lang w:eastAsia="pl-PL"/>
        </w:rPr>
      </w:pPr>
    </w:p>
    <w:p w14:paraId="2E4C4643" w14:textId="77777777" w:rsidR="009D4FD2" w:rsidRPr="009D4FD2" w:rsidRDefault="009D4FD2" w:rsidP="009D4FD2">
      <w:pPr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Odpowiedź:</w:t>
      </w:r>
      <w:r w:rsidRPr="009D4FD2">
        <w:rPr>
          <w:rFonts w:asciiTheme="minorHAnsi" w:hAnsiTheme="minorHAnsi" w:cstheme="minorHAnsi"/>
          <w:kern w:val="0"/>
          <w:sz w:val="22"/>
          <w:lang w:eastAsia="pl-PL"/>
        </w:rPr>
        <w:t xml:space="preserve"> Tak,  Zmawiający wymaga przekazania otwartych kodów źródłowych aplikacji sterownika i </w:t>
      </w:r>
      <w:proofErr w:type="spellStart"/>
      <w:r w:rsidRPr="009D4FD2">
        <w:rPr>
          <w:rFonts w:asciiTheme="minorHAnsi" w:hAnsiTheme="minorHAnsi" w:cstheme="minorHAnsi"/>
          <w:kern w:val="0"/>
          <w:sz w:val="22"/>
          <w:lang w:eastAsia="pl-PL"/>
        </w:rPr>
        <w:t>Panela</w:t>
      </w:r>
      <w:proofErr w:type="spellEnd"/>
      <w:r w:rsidRPr="009D4FD2">
        <w:rPr>
          <w:rFonts w:asciiTheme="minorHAnsi" w:hAnsiTheme="minorHAnsi" w:cstheme="minorHAnsi"/>
          <w:kern w:val="0"/>
          <w:sz w:val="22"/>
          <w:lang w:eastAsia="pl-PL"/>
        </w:rPr>
        <w:t>, Wykonawca jest zobowiązany przenieść prawa autorskie na Zamawiającego.</w:t>
      </w:r>
    </w:p>
    <w:p w14:paraId="3F30400C" w14:textId="77777777" w:rsidR="009D4FD2" w:rsidRPr="009D4FD2" w:rsidRDefault="009D4FD2" w:rsidP="009D4FD2">
      <w:pPr>
        <w:spacing w:after="0" w:line="240" w:lineRule="auto"/>
        <w:rPr>
          <w:rFonts w:asciiTheme="minorHAnsi" w:hAnsiTheme="minorHAnsi" w:cstheme="minorHAnsi"/>
          <w:kern w:val="0"/>
          <w:sz w:val="22"/>
          <w:lang w:eastAsia="pl-PL"/>
        </w:rPr>
      </w:pPr>
    </w:p>
    <w:p w14:paraId="3915DFAE" w14:textId="77777777" w:rsidR="009D4FD2" w:rsidRPr="009D4FD2" w:rsidRDefault="009D4FD2" w:rsidP="009D4FD2">
      <w:pPr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Pytanie nr 2.</w:t>
      </w:r>
      <w:r w:rsidRPr="009D4FD2">
        <w:rPr>
          <w:rFonts w:asciiTheme="minorHAnsi" w:hAnsiTheme="minorHAnsi" w:cstheme="minorHAnsi"/>
          <w:kern w:val="0"/>
          <w:sz w:val="22"/>
          <w:lang w:eastAsia="pl-PL"/>
        </w:rPr>
        <w:t> Czy zmawiający dopuszcza wykonanie aplikacji osobno w środowisku do programowania PLC                                   i osobno do programowania HMI?”</w:t>
      </w:r>
    </w:p>
    <w:p w14:paraId="1732EF74" w14:textId="77777777" w:rsidR="009D4FD2" w:rsidRPr="009D4FD2" w:rsidRDefault="009D4FD2" w:rsidP="009D4FD2">
      <w:pPr>
        <w:spacing w:after="0" w:line="240" w:lineRule="auto"/>
        <w:rPr>
          <w:rFonts w:asciiTheme="minorHAnsi" w:hAnsiTheme="minorHAnsi" w:cstheme="minorHAnsi"/>
          <w:kern w:val="0"/>
          <w:sz w:val="22"/>
          <w:lang w:eastAsia="pl-PL"/>
        </w:rPr>
      </w:pPr>
    </w:p>
    <w:p w14:paraId="1818F56F" w14:textId="77777777" w:rsidR="009D4FD2" w:rsidRPr="009D4FD2" w:rsidRDefault="009D4FD2" w:rsidP="009D4FD2">
      <w:pPr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hAnsiTheme="minorHAnsi" w:cstheme="minorHAnsi"/>
          <w:b/>
          <w:bCs/>
          <w:kern w:val="0"/>
          <w:sz w:val="22"/>
          <w:lang w:eastAsia="pl-PL"/>
        </w:rPr>
        <w:t xml:space="preserve">Odpowiedź: </w:t>
      </w:r>
      <w:r w:rsidRPr="009D4FD2">
        <w:rPr>
          <w:rFonts w:asciiTheme="minorHAnsi" w:hAnsiTheme="minorHAnsi" w:cstheme="minorHAnsi"/>
          <w:kern w:val="0"/>
          <w:sz w:val="22"/>
          <w:lang w:eastAsia="pl-PL"/>
        </w:rPr>
        <w:t xml:space="preserve">Zamawiający nie dopuszcza takiej możliwości aby aplikacja dla sterownika PLC i </w:t>
      </w:r>
      <w:proofErr w:type="spellStart"/>
      <w:r w:rsidRPr="009D4FD2">
        <w:rPr>
          <w:rFonts w:asciiTheme="minorHAnsi" w:hAnsiTheme="minorHAnsi" w:cstheme="minorHAnsi"/>
          <w:kern w:val="0"/>
          <w:sz w:val="22"/>
          <w:lang w:eastAsia="pl-PL"/>
        </w:rPr>
        <w:t>Panela</w:t>
      </w:r>
      <w:proofErr w:type="spellEnd"/>
      <w:r w:rsidRPr="009D4FD2">
        <w:rPr>
          <w:rFonts w:asciiTheme="minorHAnsi" w:hAnsiTheme="minorHAnsi" w:cstheme="minorHAnsi"/>
          <w:kern w:val="0"/>
          <w:sz w:val="22"/>
          <w:lang w:eastAsia="pl-PL"/>
        </w:rPr>
        <w:t xml:space="preserve"> HMI była napisana w różnych aplikacjach.</w:t>
      </w:r>
    </w:p>
    <w:p w14:paraId="108C50F5" w14:textId="77777777" w:rsidR="009D4FD2" w:rsidRPr="009D4FD2" w:rsidRDefault="009D4FD2" w:rsidP="009D4FD2">
      <w:pPr>
        <w:spacing w:after="0" w:line="240" w:lineRule="auto"/>
        <w:rPr>
          <w:rFonts w:asciiTheme="minorHAnsi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hAnsiTheme="minorHAnsi" w:cstheme="minorHAnsi"/>
          <w:kern w:val="0"/>
          <w:sz w:val="22"/>
          <w:lang w:eastAsia="pl-PL"/>
        </w:rPr>
        <w:t>Taką aplikację należy wykonać w jednym środowisku.</w:t>
      </w:r>
    </w:p>
    <w:p w14:paraId="720A923B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1A98C95D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7271A5DC" w14:textId="77777777" w:rsidR="009D4FD2" w:rsidRPr="009D4FD2" w:rsidRDefault="009D4FD2" w:rsidP="009D4FD2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eastAsia="Arial" w:hAnsiTheme="minorHAnsi" w:cstheme="minorHAnsi"/>
          <w:kern w:val="0"/>
          <w:sz w:val="22"/>
          <w:lang w:eastAsia="pl-PL"/>
        </w:rPr>
        <w:t>Wobec powyższego, działając zgodnie z art. 286 ust. 1 i 3 ustawy Prawo zamówień publicznych Zamawiający zmienia:</w:t>
      </w:r>
    </w:p>
    <w:p w14:paraId="0CF4E827" w14:textId="2C652761" w:rsidR="009D4FD2" w:rsidRPr="009D4FD2" w:rsidRDefault="009D4FD2" w:rsidP="009D4FD2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eastAsia="Arial" w:hAnsiTheme="minorHAnsi" w:cstheme="minorHAnsi"/>
          <w:kern w:val="0"/>
          <w:sz w:val="22"/>
          <w:lang w:eastAsia="pl-PL"/>
        </w:rPr>
        <w:t>- termin składania ofert: do 06.05.2022r.</w:t>
      </w:r>
      <w:r w:rsidR="00486999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 </w:t>
      </w:r>
      <w:r w:rsidRPr="009D4FD2">
        <w:rPr>
          <w:rFonts w:asciiTheme="minorHAnsi" w:eastAsia="Arial" w:hAnsiTheme="minorHAnsi" w:cstheme="minorHAnsi"/>
          <w:kern w:val="0"/>
          <w:sz w:val="22"/>
          <w:lang w:eastAsia="pl-PL"/>
        </w:rPr>
        <w:t>do godz. 11.00,</w:t>
      </w:r>
    </w:p>
    <w:p w14:paraId="2A7AE421" w14:textId="77777777" w:rsidR="009D4FD2" w:rsidRPr="009D4FD2" w:rsidRDefault="009D4FD2" w:rsidP="009D4FD2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eastAsia="Arial" w:hAnsiTheme="minorHAnsi" w:cstheme="minorHAnsi"/>
          <w:kern w:val="0"/>
          <w:sz w:val="22"/>
          <w:lang w:eastAsia="pl-PL"/>
        </w:rPr>
        <w:t>- termin otwarcia ofert: 06.05.2022r. godz. 11:30,</w:t>
      </w:r>
    </w:p>
    <w:p w14:paraId="478E9629" w14:textId="77777777" w:rsidR="009D4FD2" w:rsidRPr="009D4FD2" w:rsidRDefault="009D4FD2" w:rsidP="009D4FD2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9D4FD2">
        <w:rPr>
          <w:rFonts w:asciiTheme="minorHAnsi" w:eastAsia="Arial" w:hAnsiTheme="minorHAnsi" w:cstheme="minorHAnsi"/>
          <w:kern w:val="0"/>
          <w:sz w:val="22"/>
          <w:lang w:eastAsia="pl-PL"/>
        </w:rPr>
        <w:t>- termin związania ofertą: do 04.06.2022r.</w:t>
      </w:r>
    </w:p>
    <w:p w14:paraId="44238A5F" w14:textId="77777777" w:rsidR="009D4FD2" w:rsidRPr="009D4FD2" w:rsidRDefault="009D4FD2" w:rsidP="009D4F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2280326F" w14:textId="77777777" w:rsidR="009D4FD2" w:rsidRPr="009D4FD2" w:rsidRDefault="009D4FD2" w:rsidP="009D4F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2B1B9096" w14:textId="77777777" w:rsidR="009D4FD2" w:rsidRPr="009D4FD2" w:rsidRDefault="009D4FD2" w:rsidP="009D4FD2">
      <w:pPr>
        <w:autoSpaceDE w:val="0"/>
        <w:autoSpaceDN w:val="0"/>
        <w:adjustRightInd w:val="0"/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9D4FD2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5B86902D" w14:textId="77777777" w:rsidR="009D4FD2" w:rsidRPr="009D4FD2" w:rsidRDefault="009D4FD2" w:rsidP="009D4FD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9D4FD2">
        <w:rPr>
          <w:rFonts w:asciiTheme="minorHAnsi" w:hAnsiTheme="minorHAnsi" w:cstheme="minorHAnsi"/>
          <w:color w:val="000000"/>
          <w:kern w:val="0"/>
          <w:sz w:val="22"/>
        </w:rPr>
        <w:t>Wójt Gminy Dopiewo</w:t>
      </w:r>
    </w:p>
    <w:p w14:paraId="5455E557" w14:textId="77777777" w:rsidR="009D4FD2" w:rsidRPr="009D4FD2" w:rsidRDefault="009D4FD2" w:rsidP="009D4FD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9D4FD2">
        <w:rPr>
          <w:rFonts w:asciiTheme="minorHAnsi" w:hAnsiTheme="minorHAnsi" w:cstheme="minorHAnsi"/>
          <w:color w:val="000000"/>
          <w:kern w:val="0"/>
          <w:sz w:val="22"/>
        </w:rPr>
        <w:t>-Paweł Przepióra-</w:t>
      </w:r>
    </w:p>
    <w:p w14:paraId="7E4C1005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470F92B7" w14:textId="77777777" w:rsidR="009D4FD2" w:rsidRPr="009D4FD2" w:rsidRDefault="009D4FD2" w:rsidP="009D4FD2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26CFB377" w14:textId="77777777" w:rsidR="00487D3D" w:rsidRDefault="00487D3D"/>
    <w:sectPr w:rsidR="00487D3D" w:rsidSect="00DB3121">
      <w:headerReference w:type="default" r:id="rId5"/>
      <w:footerReference w:type="default" r:id="rId6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A4E4" w14:textId="77777777" w:rsidR="0043748D" w:rsidRDefault="00486999">
    <w:pPr>
      <w:pStyle w:val="Stopka"/>
      <w:jc w:val="right"/>
    </w:pPr>
  </w:p>
  <w:p w14:paraId="54057F44" w14:textId="77777777" w:rsidR="00296A44" w:rsidRDefault="0048699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CE8" w14:textId="77777777" w:rsidR="00096BAC" w:rsidRDefault="0048699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467134" wp14:editId="54719A5A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3B4CF5" wp14:editId="6F0419CF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5F0CFE" wp14:editId="58822A3D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B3"/>
    <w:multiLevelType w:val="hybridMultilevel"/>
    <w:tmpl w:val="4832F4D0"/>
    <w:lvl w:ilvl="0" w:tplc="81062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B9"/>
    <w:multiLevelType w:val="hybridMultilevel"/>
    <w:tmpl w:val="F2F66100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12A"/>
    <w:multiLevelType w:val="hybridMultilevel"/>
    <w:tmpl w:val="AAB21CE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1665">
    <w:abstractNumId w:val="2"/>
  </w:num>
  <w:num w:numId="2" w16cid:durableId="847328587">
    <w:abstractNumId w:val="3"/>
  </w:num>
  <w:num w:numId="3" w16cid:durableId="1234196588">
    <w:abstractNumId w:val="0"/>
  </w:num>
  <w:num w:numId="4" w16cid:durableId="189546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2"/>
    <w:rsid w:val="00486999"/>
    <w:rsid w:val="00487D3D"/>
    <w:rsid w:val="009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199"/>
  <w15:chartTrackingRefBased/>
  <w15:docId w15:val="{EA6B40C5-E413-4872-AB5C-5F60F3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D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4FD2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4FD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4FD2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2022-04-28T11:48:00Z</dcterms:created>
  <dcterms:modified xsi:type="dcterms:W3CDTF">2022-04-28T11:51:00Z</dcterms:modified>
</cp:coreProperties>
</file>