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>załącznik nr 3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Rz.271.11.2023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 podmiotu udostępniającego zasoby)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 podmiotu,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Wykonanie oznakowania poziomego dróg kategorii gminnej (linie segregacyjne, przejścia dla pieszych, strzałki i symbole) na terenie Legionowa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128pt;height:16.9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128pt;height:16.9pt" type="#_x0000_t75"/>
          <w:control r:id="rId4" w:name="Pole wyboru 4" w:shapeid="control_shape_2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Oświadczam, że jako podmiot udostępniający zasoby nie podlegam wykluczeniu na podstawie art. 108 ust. 1 pkt 1-6 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84.95pt;height:16.9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84.65pt;height:16.9pt" type="#_x0000_t75"/>
          <w:control r:id="rId6" w:name="unnamed12" w:shapeid="control_shape_4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203</Words>
  <Characters>1371</Characters>
  <CharactersWithSpaces>1561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2023-03-29T09:52:00Z</dcterms:created>
  <dc:creator/>
  <dc:description/>
  <dc:language>pl-PL</dc:language>
  <cp:lastModifiedBy/>
  <dcterms:modified xsi:type="dcterms:W3CDTF">2023-03-29T10:28:22Z</dcterms:modified>
  <cp:revision>4</cp:revision>
  <dc:subject/>
  <dc:title>Oświadczenie podmiotu, na którego zasoby Wykonawca się powołujeskładane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