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008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9"/>
        <w:gridCol w:w="6646"/>
        <w:gridCol w:w="561"/>
        <w:gridCol w:w="721"/>
        <w:gridCol w:w="1001"/>
        <w:gridCol w:w="1040"/>
        <w:gridCol w:w="900"/>
        <w:gridCol w:w="1040"/>
        <w:gridCol w:w="920"/>
        <w:gridCol w:w="920"/>
      </w:tblGrid>
      <w:tr w:rsidR="009332CF" w:rsidRPr="009332CF" w14:paraId="390F60DD" w14:textId="77777777" w:rsidTr="001755D7">
        <w:trPr>
          <w:trHeight w:val="840"/>
        </w:trPr>
        <w:tc>
          <w:tcPr>
            <w:tcW w:w="28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A05DA" w14:textId="431F2E3F" w:rsidR="009332CF" w:rsidRPr="005D459D" w:rsidRDefault="009332CF" w:rsidP="008E37D5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D459D">
              <w:rPr>
                <w:rFonts w:asciiTheme="minorHAnsi" w:hAnsiTheme="minorHAnsi" w:cstheme="minorHAnsi"/>
                <w:b/>
                <w:bCs/>
                <w:lang w:eastAsia="pl-PL"/>
              </w:rPr>
              <w:t>ZAŁĄCZNIK NR 3 DO SWZ</w:t>
            </w:r>
            <w:r w:rsidR="00AB0015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– OPIS PRZEDMIOTU ZAMÓWIENIA (OPZ)</w:t>
            </w:r>
          </w:p>
        </w:tc>
      </w:tr>
      <w:tr w:rsidR="009332CF" w:rsidRPr="009332CF" w14:paraId="11D81435" w14:textId="77777777" w:rsidTr="001755D7">
        <w:trPr>
          <w:trHeight w:val="1008"/>
        </w:trPr>
        <w:tc>
          <w:tcPr>
            <w:tcW w:w="28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03C638" w14:textId="555ACC43" w:rsidR="009332CF" w:rsidRPr="005D459D" w:rsidRDefault="001755D7" w:rsidP="00EC4612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roofErr w:type="spellStart"/>
            <w:r w:rsidRPr="005D459D">
              <w:rPr>
                <w:rFonts w:asciiTheme="minorHAnsi" w:hAnsiTheme="minorHAnsi" w:cstheme="minorHAnsi"/>
                <w:b/>
                <w:bCs/>
                <w:lang w:eastAsia="pl-PL"/>
              </w:rPr>
              <w:t>Dostwa</w:t>
            </w:r>
            <w:proofErr w:type="spellEnd"/>
            <w:r w:rsidRPr="005D459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sprzętu medycznego jednorazowego użytku na potrzeby Zamawiającego – </w:t>
            </w:r>
            <w:r w:rsidR="008E37D5"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  <w:r w:rsidR="00E36415"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  <w:r w:rsidRPr="005D459D">
              <w:rPr>
                <w:rFonts w:asciiTheme="minorHAnsi" w:hAnsiTheme="minorHAnsi" w:cstheme="minorHAnsi"/>
                <w:b/>
                <w:bCs/>
                <w:lang w:eastAsia="pl-PL"/>
              </w:rPr>
              <w:t>/PN/2022</w:t>
            </w:r>
          </w:p>
        </w:tc>
      </w:tr>
      <w:tr w:rsidR="009332CF" w:rsidRPr="009332CF" w14:paraId="6B2BA5E4" w14:textId="77777777" w:rsidTr="001755D7">
        <w:trPr>
          <w:trHeight w:val="312"/>
        </w:trPr>
        <w:tc>
          <w:tcPr>
            <w:tcW w:w="14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66FE7" w14:textId="77777777" w:rsidR="0007288E" w:rsidRDefault="0007288E" w:rsidP="009332CF">
            <w:pPr>
              <w:jc w:val="center"/>
              <w:rPr>
                <w:b/>
                <w:bCs/>
                <w:lang w:eastAsia="pl-PL"/>
              </w:rPr>
            </w:pPr>
          </w:p>
          <w:p w14:paraId="35FD48B5" w14:textId="7506CA93" w:rsidR="001755D7" w:rsidRPr="009332CF" w:rsidRDefault="009332CF" w:rsidP="009332CF">
            <w:pPr>
              <w:jc w:val="center"/>
              <w:rPr>
                <w:b/>
                <w:bCs/>
                <w:lang w:eastAsia="pl-PL"/>
              </w:rPr>
            </w:pPr>
            <w:r w:rsidRPr="009332CF">
              <w:rPr>
                <w:b/>
                <w:bCs/>
                <w:lang w:eastAsia="pl-PL"/>
              </w:rPr>
              <w:t> </w:t>
            </w:r>
          </w:p>
          <w:tbl>
            <w:tblPr>
              <w:tblW w:w="141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320"/>
              <w:gridCol w:w="560"/>
              <w:gridCol w:w="860"/>
              <w:gridCol w:w="1000"/>
              <w:gridCol w:w="1040"/>
              <w:gridCol w:w="900"/>
              <w:gridCol w:w="1040"/>
              <w:gridCol w:w="920"/>
              <w:gridCol w:w="920"/>
              <w:gridCol w:w="146"/>
            </w:tblGrid>
            <w:tr w:rsidR="001755D7" w:rsidRPr="001755D7" w14:paraId="2CC3648F" w14:textId="77777777" w:rsidTr="00DF6A5C">
              <w:trPr>
                <w:gridAfter w:val="1"/>
                <w:wAfter w:w="146" w:type="dxa"/>
                <w:trHeight w:val="210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DB0A37" w14:textId="77777777" w:rsidR="001755D7" w:rsidRPr="001755D7" w:rsidRDefault="001755D7" w:rsidP="001755D7">
                  <w:pPr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23BE3D" w14:textId="77777777" w:rsidR="001755D7" w:rsidRPr="001755D7" w:rsidRDefault="001755D7" w:rsidP="001755D7">
                  <w:pPr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461755" w14:textId="77777777" w:rsidR="001755D7" w:rsidRPr="001755D7" w:rsidRDefault="001755D7" w:rsidP="001755D7">
                  <w:pPr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F9E461" w14:textId="77777777" w:rsidR="001755D7" w:rsidRPr="001755D7" w:rsidRDefault="001755D7" w:rsidP="001755D7">
                  <w:pPr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BB4888" w14:textId="77777777" w:rsidR="001755D7" w:rsidRPr="001755D7" w:rsidRDefault="001755D7" w:rsidP="001755D7">
                  <w:pPr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DA8DCE" w14:textId="77777777" w:rsidR="001755D7" w:rsidRPr="001755D7" w:rsidRDefault="001755D7" w:rsidP="001755D7">
                  <w:pPr>
                    <w:jc w:val="right"/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7EF02D" w14:textId="77777777" w:rsidR="001755D7" w:rsidRPr="001755D7" w:rsidRDefault="001755D7" w:rsidP="001755D7">
                  <w:pPr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D0CE1B" w14:textId="77777777" w:rsidR="001755D7" w:rsidRPr="001755D7" w:rsidRDefault="001755D7" w:rsidP="001755D7">
                  <w:pPr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77FC0E4" w14:textId="77777777" w:rsidR="001755D7" w:rsidRPr="001755D7" w:rsidRDefault="001755D7" w:rsidP="001755D7">
                  <w:pPr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17D7ED" w14:textId="77777777" w:rsidR="001755D7" w:rsidRPr="001755D7" w:rsidRDefault="001755D7" w:rsidP="001755D7">
                  <w:pPr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rFonts w:ascii="Arial CE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1755D7" w:rsidRPr="001755D7" w14:paraId="3BC02A5A" w14:textId="77777777" w:rsidTr="00DF6A5C">
              <w:trPr>
                <w:gridAfter w:val="1"/>
                <w:wAfter w:w="146" w:type="dxa"/>
                <w:trHeight w:val="270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F58409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D72F0E" w14:textId="77777777" w:rsidR="001755D7" w:rsidRPr="001755D7" w:rsidRDefault="001755D7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Pakiet 1.</w:t>
                  </w:r>
                  <w:r w:rsidRPr="001755D7">
                    <w:rPr>
                      <w:sz w:val="20"/>
                      <w:szCs w:val="20"/>
                      <w:lang w:eastAsia="pl-PL"/>
                    </w:rPr>
                    <w:t xml:space="preserve"> Przyrządy do przetaczania płynów infuzyjnych i krwi.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34E122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ADC644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9C14A5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D0ADAC" w14:textId="77777777" w:rsidR="001755D7" w:rsidRPr="001755D7" w:rsidRDefault="001755D7" w:rsidP="001755D7">
                  <w:pPr>
                    <w:jc w:val="center"/>
                    <w:rPr>
                      <w:color w:val="FF0000"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36E01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1755D7" w:rsidRPr="001755D7" w14:paraId="25336961" w14:textId="77777777" w:rsidTr="00DF6A5C">
              <w:trPr>
                <w:gridAfter w:val="1"/>
                <w:wAfter w:w="146" w:type="dxa"/>
                <w:trHeight w:val="276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5625A0A0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6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7C900379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Nazwa asortymentu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3BE221A2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1755D7">
                    <w:rPr>
                      <w:sz w:val="16"/>
                      <w:szCs w:val="16"/>
                      <w:lang w:eastAsia="pl-PL"/>
                    </w:rPr>
                    <w:t>J.m.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6D31143F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1755D7">
                    <w:rPr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0EE2B145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1755D7">
                    <w:rPr>
                      <w:sz w:val="16"/>
                      <w:szCs w:val="16"/>
                      <w:lang w:eastAsia="pl-PL"/>
                    </w:rPr>
                    <w:t>Cena jedn. Netto PLN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29B76BA0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1755D7">
                    <w:rPr>
                      <w:sz w:val="16"/>
                      <w:szCs w:val="16"/>
                      <w:lang w:eastAsia="pl-PL"/>
                    </w:rPr>
                    <w:t>Wartość netto PLN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7CA89E81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1755D7">
                    <w:rPr>
                      <w:sz w:val="16"/>
                      <w:szCs w:val="16"/>
                      <w:lang w:eastAsia="pl-PL"/>
                    </w:rPr>
                    <w:t>Stawka VAT %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6BD5C2B5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1755D7">
                    <w:rPr>
                      <w:sz w:val="16"/>
                      <w:szCs w:val="16"/>
                      <w:lang w:eastAsia="pl-PL"/>
                    </w:rPr>
                    <w:t>Wartość brutto PLN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029B7FBC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1755D7">
                    <w:rPr>
                      <w:sz w:val="16"/>
                      <w:szCs w:val="16"/>
                      <w:lang w:eastAsia="pl-PL"/>
                    </w:rPr>
                    <w:t>Producent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22800B04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1755D7">
                    <w:rPr>
                      <w:sz w:val="16"/>
                      <w:szCs w:val="16"/>
                      <w:lang w:eastAsia="pl-PL"/>
                    </w:rPr>
                    <w:t>nr. katalogowy</w:t>
                  </w:r>
                </w:p>
              </w:tc>
            </w:tr>
            <w:tr w:rsidR="001755D7" w:rsidRPr="001755D7" w14:paraId="0D615020" w14:textId="77777777" w:rsidTr="00DF6A5C">
              <w:trPr>
                <w:trHeight w:val="264"/>
              </w:trPr>
              <w:tc>
                <w:tcPr>
                  <w:tcW w:w="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E7F50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6E813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1C35F" w14:textId="77777777" w:rsidR="001755D7" w:rsidRPr="001755D7" w:rsidRDefault="001755D7" w:rsidP="001755D7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0DC45" w14:textId="77777777" w:rsidR="001755D7" w:rsidRPr="001755D7" w:rsidRDefault="001755D7" w:rsidP="001755D7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3F04DB" w14:textId="77777777" w:rsidR="001755D7" w:rsidRPr="001755D7" w:rsidRDefault="001755D7" w:rsidP="001755D7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AA0B77" w14:textId="77777777" w:rsidR="001755D7" w:rsidRPr="001755D7" w:rsidRDefault="001755D7" w:rsidP="001755D7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86C021" w14:textId="77777777" w:rsidR="001755D7" w:rsidRPr="001755D7" w:rsidRDefault="001755D7" w:rsidP="001755D7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57B0B" w14:textId="77777777" w:rsidR="001755D7" w:rsidRPr="001755D7" w:rsidRDefault="001755D7" w:rsidP="001755D7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E32A8" w14:textId="77777777" w:rsidR="001755D7" w:rsidRPr="001755D7" w:rsidRDefault="001755D7" w:rsidP="001755D7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A32D2" w14:textId="77777777" w:rsidR="001755D7" w:rsidRPr="001755D7" w:rsidRDefault="001755D7" w:rsidP="001755D7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C6953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755D7" w:rsidRPr="001755D7" w14:paraId="64877F0C" w14:textId="77777777" w:rsidTr="00DF6A5C">
              <w:trPr>
                <w:trHeight w:val="1800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4B8D3A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75CD5A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 xml:space="preserve">Przyrząd do przetaczania płynów infuzyjnych, komora kroplowa wykonana z PP o długości min. 60mm w części przezroczystej, całość wolna od </w:t>
                  </w:r>
                  <w:proofErr w:type="spellStart"/>
                  <w:r w:rsidRPr="001755D7">
                    <w:rPr>
                      <w:sz w:val="20"/>
                      <w:szCs w:val="20"/>
                      <w:lang w:eastAsia="pl-PL"/>
                    </w:rPr>
                    <w:t>ftalanów</w:t>
                  </w:r>
                  <w:proofErr w:type="spellEnd"/>
                  <w:r w:rsidRPr="001755D7">
                    <w:rPr>
                      <w:sz w:val="20"/>
                      <w:szCs w:val="20"/>
                      <w:lang w:eastAsia="pl-PL"/>
                    </w:rPr>
                    <w:t>, informacja na opakowaniu jednostkowym, igła biorcza ścięta dwupłaszczyznowo wykonana z ABS wzmocnionego włóknem szklanym, zacisk rolkowy wyposażony w uchwyt na dren oraz możliwość zabezpieczenia igły biorczej po użyciu, dren o dł. min.150 cm, opakowanie kolorystyczne folia-papier, sterylny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53C305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6D820A" w14:textId="77777777" w:rsidR="001755D7" w:rsidRPr="001755D7" w:rsidRDefault="001755D7" w:rsidP="001755D7">
                  <w:pPr>
                    <w:jc w:val="center"/>
                    <w:rPr>
                      <w:sz w:val="18"/>
                      <w:szCs w:val="18"/>
                      <w:lang w:eastAsia="pl-PL"/>
                    </w:rPr>
                  </w:pPr>
                  <w:r w:rsidRPr="001755D7">
                    <w:rPr>
                      <w:sz w:val="18"/>
                      <w:szCs w:val="18"/>
                      <w:lang w:eastAsia="pl-PL"/>
                    </w:rPr>
                    <w:t>120000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2290B3" w14:textId="77777777" w:rsidR="001755D7" w:rsidRPr="001755D7" w:rsidRDefault="001755D7" w:rsidP="001755D7">
                  <w:pPr>
                    <w:jc w:val="center"/>
                    <w:rPr>
                      <w:color w:val="FF0000"/>
                      <w:sz w:val="18"/>
                      <w:szCs w:val="18"/>
                      <w:lang w:eastAsia="pl-PL"/>
                    </w:rPr>
                  </w:pPr>
                  <w:r w:rsidRPr="001755D7">
                    <w:rPr>
                      <w:color w:val="FF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15FF6B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F45DEC" w14:textId="77777777" w:rsidR="001755D7" w:rsidRPr="001755D7" w:rsidRDefault="001755D7" w:rsidP="001755D7">
                  <w:pPr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C40D76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C4542D4" w14:textId="77777777" w:rsidR="001755D7" w:rsidRPr="001755D7" w:rsidRDefault="001755D7" w:rsidP="001755D7">
                  <w:pPr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21AC7D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EE2F96B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755D7" w:rsidRPr="001755D7" w14:paraId="0A967C35" w14:textId="77777777" w:rsidTr="00DF6A5C">
              <w:trPr>
                <w:trHeight w:val="1845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21CEE5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6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50AF15F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 xml:space="preserve">Przyrząd do przetaczania krwi, transfuzji, komora kroplowa wolna od PVC o długości min. 80mm w części przezroczystej, całość bez zawartości </w:t>
                  </w:r>
                  <w:proofErr w:type="spellStart"/>
                  <w:r w:rsidRPr="001755D7">
                    <w:rPr>
                      <w:sz w:val="20"/>
                      <w:szCs w:val="20"/>
                      <w:lang w:eastAsia="pl-PL"/>
                    </w:rPr>
                    <w:t>ftalanów</w:t>
                  </w:r>
                  <w:proofErr w:type="spellEnd"/>
                  <w:r w:rsidRPr="001755D7">
                    <w:rPr>
                      <w:sz w:val="20"/>
                      <w:szCs w:val="20"/>
                      <w:lang w:eastAsia="pl-PL"/>
                    </w:rPr>
                    <w:t>, informacja na opakowaniu jednostkowym, zacisk rolkowy wyposażony w uchwyt na dren oraz możliwość zabezpieczenia igły biorczej po użyciu, nazwa producenta bezpośrednio na przyrządzie, dren o dł. min.150 cm wyposażone w opaskę lub gumkę stabilizującą dren wewnątrz opakowania, opakowanie kolorystyczne folia-papier, sterylna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DA9C9C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B6D102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7D0661" w14:textId="77777777" w:rsidR="001755D7" w:rsidRPr="001755D7" w:rsidRDefault="001755D7" w:rsidP="001755D7">
                  <w:pPr>
                    <w:jc w:val="center"/>
                    <w:rPr>
                      <w:color w:val="FF0000"/>
                      <w:sz w:val="18"/>
                      <w:szCs w:val="18"/>
                      <w:lang w:eastAsia="pl-PL"/>
                    </w:rPr>
                  </w:pPr>
                  <w:r w:rsidRPr="001755D7">
                    <w:rPr>
                      <w:color w:val="FF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6A8A1B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4129F7" w14:textId="77777777" w:rsidR="001755D7" w:rsidRPr="001755D7" w:rsidRDefault="001755D7" w:rsidP="001755D7">
                  <w:pPr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F3C1D2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D5F6E01" w14:textId="77777777" w:rsidR="001755D7" w:rsidRPr="001755D7" w:rsidRDefault="001755D7" w:rsidP="001755D7">
                  <w:pPr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0BF89A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134CF66D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755D7" w:rsidRPr="001755D7" w14:paraId="16A981C4" w14:textId="77777777" w:rsidTr="00DF6A5C">
              <w:trPr>
                <w:trHeight w:val="2640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27B11B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6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C226F5" w14:textId="44FF6CE5" w:rsidR="001755D7" w:rsidRPr="001755D7" w:rsidRDefault="00AC503A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AC503A">
                    <w:rPr>
                      <w:sz w:val="20"/>
                      <w:szCs w:val="20"/>
                      <w:lang w:eastAsia="pl-PL"/>
                    </w:rPr>
                    <w:t xml:space="preserve">Przyrząd do przetaczania płynów infuzyjnych bursztynowy z workiem do osłony podawanego płynu przed światłem, worek w kolorze zielonym lub żółtym o wymiarach co najmniej 210mmx310mm, komora kroplowa wykonana z PP o długości min. 60mm w części przezroczystej, całość wolna od </w:t>
                  </w:r>
                  <w:proofErr w:type="spellStart"/>
                  <w:r w:rsidRPr="00AC503A">
                    <w:rPr>
                      <w:sz w:val="20"/>
                      <w:szCs w:val="20"/>
                      <w:lang w:eastAsia="pl-PL"/>
                    </w:rPr>
                    <w:t>ftalanów</w:t>
                  </w:r>
                  <w:proofErr w:type="spellEnd"/>
                  <w:r w:rsidRPr="00AC503A">
                    <w:rPr>
                      <w:sz w:val="20"/>
                      <w:szCs w:val="20"/>
                      <w:lang w:eastAsia="pl-PL"/>
                    </w:rPr>
                    <w:t>, informacja na opakowaniu jednostkowym, igła biorcza ścięta dwupłaszczyznowo wykonana z ABS wzmocnionego włóknem szklanym, zacisk rolkowy wyposażony w uchwyt na dren oraz możliwość zabezpieczenia igły biorczej po użyciu, nazwa producenta bezpośrednio na przyrządzie, opakowanie kolorystyczne folia-papier, sterylny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5D7028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A4586A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3000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E0C8F4" w14:textId="77777777" w:rsidR="001755D7" w:rsidRPr="001755D7" w:rsidRDefault="001755D7" w:rsidP="001755D7">
                  <w:pPr>
                    <w:jc w:val="center"/>
                    <w:rPr>
                      <w:color w:val="FF0000"/>
                      <w:sz w:val="18"/>
                      <w:szCs w:val="18"/>
                      <w:lang w:eastAsia="pl-PL"/>
                    </w:rPr>
                  </w:pPr>
                  <w:r w:rsidRPr="001755D7">
                    <w:rPr>
                      <w:color w:val="FF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8A0871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729BAF" w14:textId="77777777" w:rsidR="001755D7" w:rsidRPr="001755D7" w:rsidRDefault="001755D7" w:rsidP="001755D7">
                  <w:pPr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CB711A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BEB4E8" w14:textId="77777777" w:rsidR="001755D7" w:rsidRPr="001755D7" w:rsidRDefault="001755D7" w:rsidP="001755D7">
                  <w:pPr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2F068A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581AC94D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755D7" w:rsidRPr="001755D7" w14:paraId="0ABC26F5" w14:textId="77777777" w:rsidTr="00DF6A5C">
              <w:trPr>
                <w:trHeight w:val="1305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E3FA2A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0125C6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 xml:space="preserve">Przyrząd do przetaczania płynów infuzyjnych z możliwością pomiaru Ośrodkowego Ciśnienia Żylnego, </w:t>
                  </w:r>
                  <w:proofErr w:type="spellStart"/>
                  <w:r w:rsidRPr="001755D7">
                    <w:rPr>
                      <w:sz w:val="20"/>
                      <w:szCs w:val="20"/>
                      <w:lang w:eastAsia="pl-PL"/>
                    </w:rPr>
                    <w:t>j.uż</w:t>
                  </w:r>
                  <w:proofErr w:type="spellEnd"/>
                  <w:r w:rsidRPr="001755D7">
                    <w:rPr>
                      <w:sz w:val="20"/>
                      <w:szCs w:val="20"/>
                      <w:lang w:eastAsia="pl-PL"/>
                    </w:rPr>
                    <w:t xml:space="preserve">. z podziałką, łącznik </w:t>
                  </w:r>
                  <w:proofErr w:type="spellStart"/>
                  <w:r w:rsidRPr="001755D7">
                    <w:rPr>
                      <w:sz w:val="20"/>
                      <w:szCs w:val="20"/>
                      <w:lang w:eastAsia="pl-PL"/>
                    </w:rPr>
                    <w:t>Luer</w:t>
                  </w:r>
                  <w:proofErr w:type="spellEnd"/>
                  <w:r w:rsidRPr="001755D7">
                    <w:rPr>
                      <w:sz w:val="20"/>
                      <w:szCs w:val="20"/>
                      <w:lang w:eastAsia="pl-PL"/>
                    </w:rPr>
                    <w:t xml:space="preserve">-Lock, precyzyjny zacisk rolkowy, skala pomiarowa 0-30 cm H2O, sterylny, </w:t>
                  </w:r>
                  <w:proofErr w:type="spellStart"/>
                  <w:r w:rsidRPr="001755D7">
                    <w:rPr>
                      <w:sz w:val="20"/>
                      <w:szCs w:val="20"/>
                      <w:lang w:eastAsia="pl-PL"/>
                    </w:rPr>
                    <w:t>apirogenny</w:t>
                  </w:r>
                  <w:proofErr w:type="spellEnd"/>
                  <w:r w:rsidRPr="001755D7">
                    <w:rPr>
                      <w:sz w:val="20"/>
                      <w:szCs w:val="20"/>
                      <w:lang w:eastAsia="pl-PL"/>
                    </w:rPr>
                    <w:t xml:space="preserve">, nietoksyczny, jednokrotnego użytku. Wolny od </w:t>
                  </w:r>
                  <w:proofErr w:type="spellStart"/>
                  <w:r w:rsidRPr="001755D7">
                    <w:rPr>
                      <w:sz w:val="20"/>
                      <w:szCs w:val="20"/>
                      <w:lang w:eastAsia="pl-PL"/>
                    </w:rPr>
                    <w:t>ftalanów</w:t>
                  </w:r>
                  <w:proofErr w:type="spellEnd"/>
                  <w:r w:rsidRPr="001755D7">
                    <w:rPr>
                      <w:sz w:val="20"/>
                      <w:szCs w:val="20"/>
                      <w:lang w:eastAsia="pl-PL"/>
                    </w:rPr>
                    <w:t>.  Opakowanie typu blister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131B56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0C7620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1C9931" w14:textId="77777777" w:rsidR="001755D7" w:rsidRPr="001755D7" w:rsidRDefault="001755D7" w:rsidP="001755D7">
                  <w:pPr>
                    <w:jc w:val="center"/>
                    <w:rPr>
                      <w:color w:val="FF0000"/>
                      <w:sz w:val="18"/>
                      <w:szCs w:val="18"/>
                      <w:lang w:eastAsia="pl-PL"/>
                    </w:rPr>
                  </w:pPr>
                  <w:r w:rsidRPr="001755D7">
                    <w:rPr>
                      <w:color w:val="FF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2DD879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D67478" w14:textId="77777777" w:rsidR="001755D7" w:rsidRPr="001755D7" w:rsidRDefault="001755D7" w:rsidP="001755D7">
                  <w:pPr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3F099D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060CD0F" w14:textId="77777777" w:rsidR="001755D7" w:rsidRPr="001755D7" w:rsidRDefault="001755D7" w:rsidP="001755D7">
                  <w:pPr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A7B08E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482D3E4F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755D7" w:rsidRPr="001755D7" w14:paraId="1DEEFD59" w14:textId="77777777" w:rsidTr="00DF6A5C">
              <w:trPr>
                <w:trHeight w:val="516"/>
              </w:trPr>
              <w:tc>
                <w:tcPr>
                  <w:tcW w:w="9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6F2F38B4" w14:textId="77777777" w:rsidR="001755D7" w:rsidRPr="001755D7" w:rsidRDefault="001755D7" w:rsidP="001755D7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8"/>
                      <w:szCs w:val="28"/>
                      <w:lang w:eastAsia="pl-PL"/>
                    </w:rPr>
                    <w:t>Ogólna wartość pakietu :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9F37F9" w14:textId="77777777" w:rsidR="001755D7" w:rsidRPr="001755D7" w:rsidRDefault="001755D7" w:rsidP="001755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5432F232" w14:textId="77777777" w:rsidR="001755D7" w:rsidRPr="001755D7" w:rsidRDefault="001755D7" w:rsidP="001755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xxxxxx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823E7C" w14:textId="77777777" w:rsidR="001755D7" w:rsidRPr="001755D7" w:rsidRDefault="001755D7" w:rsidP="001755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3CA3E394" w14:textId="77777777" w:rsidR="001755D7" w:rsidRPr="001755D7" w:rsidRDefault="001755D7" w:rsidP="001755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xxxxxx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765E7802" w14:textId="77777777" w:rsidR="001755D7" w:rsidRPr="001755D7" w:rsidRDefault="001755D7" w:rsidP="001755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xxxxxx</w:t>
                  </w:r>
                  <w:proofErr w:type="spellEnd"/>
                </w:p>
              </w:tc>
              <w:tc>
                <w:tcPr>
                  <w:tcW w:w="146" w:type="dxa"/>
                  <w:vAlign w:val="center"/>
                  <w:hideMark/>
                </w:tcPr>
                <w:p w14:paraId="212EDD5D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755D7" w:rsidRPr="001755D7" w14:paraId="188373CB" w14:textId="77777777" w:rsidTr="00DF6A5C">
              <w:trPr>
                <w:trHeight w:val="264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479FA86" w14:textId="77777777" w:rsidR="001755D7" w:rsidRPr="001755D7" w:rsidRDefault="001755D7" w:rsidP="001755D7">
                  <w:pPr>
                    <w:jc w:val="right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8B538E1" w14:textId="77777777" w:rsidR="001755D7" w:rsidRDefault="001755D7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0E37A05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4C0F2DFF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13319C56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57025111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2D5F9E06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1287A807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058A3452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54DF538D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70D2E24B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7022ABA0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2BA8AE06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16E9A3BD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29DE6B49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5F304BA6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6A6AB516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3894CCA9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1C99C56A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29387F36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5FA794CE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3AB91646" w14:textId="77777777" w:rsidR="0007288E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068CD38E" w14:textId="3B049AF2" w:rsidR="0007288E" w:rsidRPr="001755D7" w:rsidRDefault="0007288E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39C9F36" w14:textId="77777777" w:rsidR="001755D7" w:rsidRPr="001755D7" w:rsidRDefault="001755D7" w:rsidP="001755D7">
                  <w:pPr>
                    <w:jc w:val="right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A94D667" w14:textId="77777777" w:rsidR="001755D7" w:rsidRPr="001755D7" w:rsidRDefault="001755D7" w:rsidP="001755D7">
                  <w:pPr>
                    <w:jc w:val="right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AF1E398" w14:textId="77777777" w:rsidR="001755D7" w:rsidRPr="001755D7" w:rsidRDefault="001755D7" w:rsidP="001755D7">
                  <w:pPr>
                    <w:jc w:val="right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B4FE34" w14:textId="77777777" w:rsidR="001755D7" w:rsidRPr="001755D7" w:rsidRDefault="001755D7" w:rsidP="001755D7">
                  <w:pPr>
                    <w:jc w:val="right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8915BD" w14:textId="77777777" w:rsidR="001755D7" w:rsidRPr="001755D7" w:rsidRDefault="001755D7" w:rsidP="001755D7">
                  <w:pPr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13CF73" w14:textId="77777777" w:rsidR="001755D7" w:rsidRPr="001755D7" w:rsidRDefault="001755D7" w:rsidP="001755D7">
                  <w:pPr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0A35CF" w14:textId="77777777" w:rsidR="001755D7" w:rsidRPr="001755D7" w:rsidRDefault="001755D7" w:rsidP="001755D7">
                  <w:pPr>
                    <w:jc w:val="right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BF2788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695C645F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755D7" w:rsidRPr="001755D7" w14:paraId="7F907959" w14:textId="77777777" w:rsidTr="00DF6A5C">
              <w:trPr>
                <w:trHeight w:val="264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56407BE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989E98C" w14:textId="4DB01E8D" w:rsidR="001755D7" w:rsidRPr="001755D7" w:rsidRDefault="001755D7" w:rsidP="001755D7">
                  <w:pPr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 xml:space="preserve">Pakiet </w:t>
                  </w:r>
                  <w:r w:rsidR="0007288E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.</w:t>
                  </w:r>
                  <w:r w:rsidRPr="001755D7">
                    <w:rPr>
                      <w:sz w:val="20"/>
                      <w:szCs w:val="20"/>
                      <w:lang w:eastAsia="pl-PL"/>
                    </w:rPr>
                    <w:t xml:space="preserve"> Obwody oddechowe.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D1A4C8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AB6F7D" w14:textId="77777777" w:rsidR="001755D7" w:rsidRPr="001755D7" w:rsidRDefault="001755D7" w:rsidP="001755D7">
                  <w:pPr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E0D84B" w14:textId="77777777" w:rsidR="001755D7" w:rsidRPr="001755D7" w:rsidRDefault="001755D7" w:rsidP="001755D7">
                  <w:pPr>
                    <w:rPr>
                      <w:color w:val="FF0000"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D66C79" w14:textId="77777777" w:rsidR="001755D7" w:rsidRPr="001755D7" w:rsidRDefault="001755D7" w:rsidP="001755D7">
                  <w:pPr>
                    <w:jc w:val="center"/>
                    <w:rPr>
                      <w:color w:val="FF0000"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0C0C6A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C4509A8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755D7" w:rsidRPr="001755D7" w14:paraId="54991D5E" w14:textId="77777777" w:rsidTr="00DF6A5C">
              <w:trPr>
                <w:trHeight w:val="255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648C4D55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6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757F9569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Nazwa asortymentu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3A93CDB0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1755D7">
                    <w:rPr>
                      <w:sz w:val="16"/>
                      <w:szCs w:val="16"/>
                      <w:lang w:eastAsia="pl-PL"/>
                    </w:rPr>
                    <w:t>J.m.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5346AC2F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1755D7">
                    <w:rPr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59485958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1755D7">
                    <w:rPr>
                      <w:sz w:val="16"/>
                      <w:szCs w:val="16"/>
                      <w:lang w:eastAsia="pl-PL"/>
                    </w:rPr>
                    <w:t>Cena jedn. Netto PLN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47986FBE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1755D7">
                    <w:rPr>
                      <w:sz w:val="16"/>
                      <w:szCs w:val="16"/>
                      <w:lang w:eastAsia="pl-PL"/>
                    </w:rPr>
                    <w:t>Wartość netto PLN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3E039FA5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1755D7">
                    <w:rPr>
                      <w:sz w:val="16"/>
                      <w:szCs w:val="16"/>
                      <w:lang w:eastAsia="pl-PL"/>
                    </w:rPr>
                    <w:t>Stawka VAT %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2C104BB1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1755D7">
                    <w:rPr>
                      <w:sz w:val="16"/>
                      <w:szCs w:val="16"/>
                      <w:lang w:eastAsia="pl-PL"/>
                    </w:rPr>
                    <w:t>Wartość brutto PLN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08349B79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1755D7">
                    <w:rPr>
                      <w:sz w:val="16"/>
                      <w:szCs w:val="16"/>
                      <w:lang w:eastAsia="pl-PL"/>
                    </w:rPr>
                    <w:t>Producent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653D2016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1755D7">
                    <w:rPr>
                      <w:sz w:val="16"/>
                      <w:szCs w:val="16"/>
                      <w:lang w:eastAsia="pl-PL"/>
                    </w:rPr>
                    <w:t>nr. katalogowy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504CF7E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755D7" w:rsidRPr="001755D7" w14:paraId="27E9A03C" w14:textId="77777777" w:rsidTr="00DF6A5C">
              <w:trPr>
                <w:trHeight w:val="264"/>
              </w:trPr>
              <w:tc>
                <w:tcPr>
                  <w:tcW w:w="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87E16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9CACB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57515" w14:textId="77777777" w:rsidR="001755D7" w:rsidRPr="001755D7" w:rsidRDefault="001755D7" w:rsidP="001755D7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98E54" w14:textId="77777777" w:rsidR="001755D7" w:rsidRPr="001755D7" w:rsidRDefault="001755D7" w:rsidP="001755D7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61558" w14:textId="77777777" w:rsidR="001755D7" w:rsidRPr="001755D7" w:rsidRDefault="001755D7" w:rsidP="001755D7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2D88DE" w14:textId="77777777" w:rsidR="001755D7" w:rsidRPr="001755D7" w:rsidRDefault="001755D7" w:rsidP="001755D7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E87374" w14:textId="77777777" w:rsidR="001755D7" w:rsidRPr="001755D7" w:rsidRDefault="001755D7" w:rsidP="001755D7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21BEE" w14:textId="77777777" w:rsidR="001755D7" w:rsidRPr="001755D7" w:rsidRDefault="001755D7" w:rsidP="001755D7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65DC9" w14:textId="77777777" w:rsidR="001755D7" w:rsidRPr="001755D7" w:rsidRDefault="001755D7" w:rsidP="001755D7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8F08A" w14:textId="77777777" w:rsidR="001755D7" w:rsidRPr="001755D7" w:rsidRDefault="001755D7" w:rsidP="001755D7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0B62C" w14:textId="77777777" w:rsidR="001755D7" w:rsidRPr="001755D7" w:rsidRDefault="001755D7" w:rsidP="001755D7">
                  <w:pPr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755D7" w:rsidRPr="001755D7" w14:paraId="7376A52F" w14:textId="77777777" w:rsidTr="00DF6A5C">
              <w:trPr>
                <w:trHeight w:val="2085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B4E727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149656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Obwód oddechowy kompatybilny z respiratorem dla dorosłych typ Flight 60,  jedno rurowy o długości 180 cm, zastawka wydechowa z wylotem powietrza wydychanego przez pacjenta na końcu rury wydechowej o długości 18 cm, z 3 drenami: drenem sterującym zastawką o długości 200 cm i drenami do czujnika przepływu o długości 200 cm, dreny podłączone do łącznika umożliwiającego podłączenie ich do respiratora, trójnik do podłączenia respiratora 22mmF na końcu którego umieszczony jest czujnik przepływu, mikrobiologicznie czysty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D852E9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F17D2E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5BFA98" w14:textId="77777777" w:rsidR="001755D7" w:rsidRPr="001755D7" w:rsidRDefault="001755D7" w:rsidP="001755D7">
                  <w:pPr>
                    <w:jc w:val="center"/>
                    <w:rPr>
                      <w:rFonts w:ascii="Times New Roman CE" w:hAnsi="Times New Roman CE" w:cs="Times New Roman CE"/>
                      <w:color w:val="FF0000"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rFonts w:ascii="Times New Roman CE" w:hAnsi="Times New Roman CE" w:cs="Times New Roman CE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A96B7E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8D8530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3B2FB2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A18E6A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E14EAC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53941857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755D7" w:rsidRPr="001755D7" w14:paraId="569968FC" w14:textId="77777777" w:rsidTr="00DF6A5C">
              <w:trPr>
                <w:trHeight w:val="516"/>
              </w:trPr>
              <w:tc>
                <w:tcPr>
                  <w:tcW w:w="9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29ABE546" w14:textId="77777777" w:rsidR="001755D7" w:rsidRPr="001755D7" w:rsidRDefault="001755D7" w:rsidP="001755D7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8"/>
                      <w:szCs w:val="28"/>
                      <w:lang w:eastAsia="pl-PL"/>
                    </w:rPr>
                    <w:t>Ogólna wartość pakietu :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87892B" w14:textId="77777777" w:rsidR="001755D7" w:rsidRPr="001755D7" w:rsidRDefault="001755D7" w:rsidP="001755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64A60F2F" w14:textId="77777777" w:rsidR="001755D7" w:rsidRPr="001755D7" w:rsidRDefault="001755D7" w:rsidP="001755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xxxxxx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A172BD" w14:textId="77777777" w:rsidR="001755D7" w:rsidRPr="001755D7" w:rsidRDefault="001755D7" w:rsidP="001755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39BB8F62" w14:textId="77777777" w:rsidR="001755D7" w:rsidRPr="001755D7" w:rsidRDefault="001755D7" w:rsidP="001755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xxxxxx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14:paraId="6B786A75" w14:textId="77777777" w:rsidR="001755D7" w:rsidRPr="001755D7" w:rsidRDefault="001755D7" w:rsidP="001755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xxxxxx</w:t>
                  </w:r>
                  <w:proofErr w:type="spellEnd"/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598EBC4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755D7" w:rsidRPr="001755D7" w14:paraId="03E2C0AE" w14:textId="77777777" w:rsidTr="00DF6A5C">
              <w:trPr>
                <w:trHeight w:val="264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65D80E2" w14:textId="77777777" w:rsidR="001755D7" w:rsidRPr="001755D7" w:rsidRDefault="001755D7" w:rsidP="001755D7">
                  <w:pPr>
                    <w:jc w:val="right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C26492C" w14:textId="77777777" w:rsidR="001755D7" w:rsidRPr="001755D7" w:rsidRDefault="001755D7" w:rsidP="001755D7">
                  <w:pPr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3D20C7A" w14:textId="77777777" w:rsidR="001755D7" w:rsidRPr="001755D7" w:rsidRDefault="001755D7" w:rsidP="001755D7">
                  <w:pPr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C3588F2" w14:textId="77777777" w:rsidR="001755D7" w:rsidRPr="001755D7" w:rsidRDefault="001755D7" w:rsidP="001755D7">
                  <w:pPr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CD3A9F1" w14:textId="77777777" w:rsidR="001755D7" w:rsidRPr="001755D7" w:rsidRDefault="001755D7" w:rsidP="001755D7">
                  <w:pPr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2B7079" w14:textId="77777777" w:rsidR="001755D7" w:rsidRPr="001755D7" w:rsidRDefault="001755D7" w:rsidP="001755D7">
                  <w:pPr>
                    <w:jc w:val="right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869758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68C616" w14:textId="77777777" w:rsidR="001755D7" w:rsidRPr="001755D7" w:rsidRDefault="001755D7" w:rsidP="001755D7">
                  <w:pPr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841FE5" w14:textId="77777777" w:rsidR="001755D7" w:rsidRPr="001755D7" w:rsidRDefault="001755D7" w:rsidP="001755D7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C87AB2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  <w:r w:rsidRPr="001755D7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2D17C4B9" w14:textId="77777777" w:rsidR="001755D7" w:rsidRPr="001755D7" w:rsidRDefault="001755D7" w:rsidP="001755D7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1438FA3" w14:textId="60ABB2F5" w:rsidR="009332CF" w:rsidRPr="009332CF" w:rsidRDefault="009332CF" w:rsidP="009332CF">
            <w:pPr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A13FD" w14:textId="77777777" w:rsidR="009332CF" w:rsidRPr="009332CF" w:rsidRDefault="009332CF" w:rsidP="009332CF">
            <w:pPr>
              <w:jc w:val="center"/>
              <w:rPr>
                <w:b/>
                <w:bCs/>
                <w:lang w:eastAsia="pl-PL"/>
              </w:rPr>
            </w:pPr>
            <w:r w:rsidRPr="009332CF">
              <w:rPr>
                <w:b/>
                <w:bCs/>
                <w:lang w:eastAsia="pl-PL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DBE75" w14:textId="77777777" w:rsidR="009332CF" w:rsidRPr="009332CF" w:rsidRDefault="009332CF" w:rsidP="009332CF">
            <w:pPr>
              <w:jc w:val="center"/>
              <w:rPr>
                <w:b/>
                <w:bCs/>
                <w:lang w:eastAsia="pl-PL"/>
              </w:rPr>
            </w:pPr>
            <w:r w:rsidRPr="009332CF">
              <w:rPr>
                <w:b/>
                <w:bCs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05769" w14:textId="77777777" w:rsidR="009332CF" w:rsidRPr="009332CF" w:rsidRDefault="009332CF" w:rsidP="009332CF">
            <w:pPr>
              <w:jc w:val="center"/>
              <w:rPr>
                <w:b/>
                <w:bCs/>
                <w:lang w:eastAsia="pl-PL"/>
              </w:rPr>
            </w:pPr>
            <w:r w:rsidRPr="009332CF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626DE" w14:textId="77777777" w:rsidR="009332CF" w:rsidRPr="009332CF" w:rsidRDefault="009332CF" w:rsidP="009332CF">
            <w:pPr>
              <w:jc w:val="center"/>
              <w:rPr>
                <w:b/>
                <w:bCs/>
                <w:lang w:eastAsia="pl-PL"/>
              </w:rPr>
            </w:pPr>
            <w:r w:rsidRPr="009332CF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DF6AE" w14:textId="77777777" w:rsidR="009332CF" w:rsidRPr="009332CF" w:rsidRDefault="009332CF" w:rsidP="009332CF">
            <w:pPr>
              <w:jc w:val="center"/>
              <w:rPr>
                <w:b/>
                <w:bCs/>
                <w:lang w:eastAsia="pl-PL"/>
              </w:rPr>
            </w:pPr>
            <w:r w:rsidRPr="009332CF">
              <w:rPr>
                <w:b/>
                <w:bCs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D377E" w14:textId="77777777" w:rsidR="009332CF" w:rsidRPr="009332CF" w:rsidRDefault="009332CF" w:rsidP="009332CF">
            <w:pPr>
              <w:jc w:val="center"/>
              <w:rPr>
                <w:b/>
                <w:bCs/>
                <w:lang w:eastAsia="pl-PL"/>
              </w:rPr>
            </w:pPr>
            <w:r w:rsidRPr="009332CF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6C526" w14:textId="77777777" w:rsidR="009332CF" w:rsidRPr="009332CF" w:rsidRDefault="009332CF" w:rsidP="009332CF">
            <w:pPr>
              <w:jc w:val="center"/>
              <w:rPr>
                <w:b/>
                <w:bCs/>
                <w:lang w:eastAsia="pl-PL"/>
              </w:rPr>
            </w:pPr>
            <w:r w:rsidRPr="009332CF">
              <w:rPr>
                <w:b/>
                <w:bCs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61DB1" w14:textId="77777777" w:rsidR="009332CF" w:rsidRPr="009332CF" w:rsidRDefault="009332CF" w:rsidP="009332CF">
            <w:pPr>
              <w:jc w:val="center"/>
              <w:rPr>
                <w:b/>
                <w:bCs/>
                <w:lang w:eastAsia="pl-PL"/>
              </w:rPr>
            </w:pPr>
            <w:r w:rsidRPr="009332CF">
              <w:rPr>
                <w:b/>
                <w:bCs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DF5CD" w14:textId="77777777" w:rsidR="009332CF" w:rsidRPr="009332CF" w:rsidRDefault="009332CF" w:rsidP="009332CF">
            <w:pPr>
              <w:jc w:val="center"/>
              <w:rPr>
                <w:b/>
                <w:bCs/>
                <w:lang w:eastAsia="pl-PL"/>
              </w:rPr>
            </w:pPr>
            <w:r w:rsidRPr="009332CF">
              <w:rPr>
                <w:b/>
                <w:bCs/>
                <w:lang w:eastAsia="pl-PL"/>
              </w:rPr>
              <w:t> </w:t>
            </w:r>
          </w:p>
        </w:tc>
      </w:tr>
    </w:tbl>
    <w:p w14:paraId="43C5B7AF" w14:textId="13248653" w:rsidR="00EA22BB" w:rsidRDefault="00EA22BB" w:rsidP="00B03626">
      <w:pPr>
        <w:pStyle w:val="rozdzia"/>
        <w:jc w:val="left"/>
        <w:rPr>
          <w:sz w:val="22"/>
          <w:szCs w:val="22"/>
        </w:rPr>
      </w:pPr>
    </w:p>
    <w:p w14:paraId="7B41D825" w14:textId="69984588" w:rsidR="00EA22BB" w:rsidRDefault="00EA22BB" w:rsidP="00B03626">
      <w:pPr>
        <w:pStyle w:val="rozdzia"/>
        <w:jc w:val="left"/>
        <w:rPr>
          <w:sz w:val="22"/>
          <w:szCs w:val="22"/>
        </w:rPr>
      </w:pPr>
    </w:p>
    <w:p w14:paraId="11B064E6" w14:textId="371B9403" w:rsidR="0007288E" w:rsidRDefault="0007288E" w:rsidP="00B03626">
      <w:pPr>
        <w:pStyle w:val="rozdzia"/>
        <w:jc w:val="left"/>
        <w:rPr>
          <w:sz w:val="22"/>
          <w:szCs w:val="22"/>
        </w:rPr>
      </w:pPr>
    </w:p>
    <w:p w14:paraId="380A035E" w14:textId="7330038A" w:rsidR="0007288E" w:rsidRDefault="0007288E" w:rsidP="00B03626">
      <w:pPr>
        <w:pStyle w:val="rozdzia"/>
        <w:jc w:val="left"/>
        <w:rPr>
          <w:sz w:val="22"/>
          <w:szCs w:val="22"/>
        </w:rPr>
      </w:pPr>
    </w:p>
    <w:p w14:paraId="1404AF89" w14:textId="12CECB8D" w:rsidR="0007288E" w:rsidRDefault="0007288E" w:rsidP="00B03626">
      <w:pPr>
        <w:pStyle w:val="rozdzia"/>
        <w:jc w:val="left"/>
        <w:rPr>
          <w:sz w:val="22"/>
          <w:szCs w:val="22"/>
        </w:rPr>
      </w:pPr>
    </w:p>
    <w:p w14:paraId="22639D37" w14:textId="62931B46" w:rsidR="0007288E" w:rsidRDefault="0007288E" w:rsidP="00B03626">
      <w:pPr>
        <w:pStyle w:val="rozdzia"/>
        <w:jc w:val="left"/>
        <w:rPr>
          <w:sz w:val="22"/>
          <w:szCs w:val="22"/>
        </w:rPr>
      </w:pPr>
    </w:p>
    <w:p w14:paraId="408A3388" w14:textId="10E7BFDA" w:rsidR="0007288E" w:rsidRDefault="0007288E" w:rsidP="00B03626">
      <w:pPr>
        <w:pStyle w:val="rozdzia"/>
        <w:jc w:val="left"/>
        <w:rPr>
          <w:sz w:val="22"/>
          <w:szCs w:val="22"/>
        </w:rPr>
      </w:pPr>
    </w:p>
    <w:p w14:paraId="25B7C0B3" w14:textId="156856D7" w:rsidR="0007288E" w:rsidRDefault="0007288E" w:rsidP="00B03626">
      <w:pPr>
        <w:pStyle w:val="rozdzia"/>
        <w:jc w:val="left"/>
        <w:rPr>
          <w:sz w:val="22"/>
          <w:szCs w:val="22"/>
        </w:rPr>
      </w:pPr>
    </w:p>
    <w:p w14:paraId="5ED83857" w14:textId="27F65153" w:rsidR="0007288E" w:rsidRDefault="0007288E" w:rsidP="00B03626">
      <w:pPr>
        <w:pStyle w:val="rozdzia"/>
        <w:jc w:val="left"/>
        <w:rPr>
          <w:sz w:val="22"/>
          <w:szCs w:val="22"/>
        </w:rPr>
      </w:pPr>
    </w:p>
    <w:p w14:paraId="2F9AB053" w14:textId="5C6B2B74" w:rsidR="0007288E" w:rsidRDefault="0007288E" w:rsidP="00B03626">
      <w:pPr>
        <w:pStyle w:val="rozdzia"/>
        <w:jc w:val="left"/>
        <w:rPr>
          <w:sz w:val="22"/>
          <w:szCs w:val="22"/>
        </w:rPr>
      </w:pPr>
    </w:p>
    <w:p w14:paraId="166EF00A" w14:textId="38FB5C84" w:rsidR="0007288E" w:rsidRDefault="0007288E" w:rsidP="00B03626">
      <w:pPr>
        <w:pStyle w:val="rozdzia"/>
        <w:jc w:val="left"/>
        <w:rPr>
          <w:sz w:val="22"/>
          <w:szCs w:val="22"/>
        </w:rPr>
      </w:pPr>
    </w:p>
    <w:p w14:paraId="1E19063A" w14:textId="4110A37B" w:rsidR="0007288E" w:rsidRDefault="0007288E" w:rsidP="00B03626">
      <w:pPr>
        <w:pStyle w:val="rozdzia"/>
        <w:jc w:val="left"/>
        <w:rPr>
          <w:sz w:val="22"/>
          <w:szCs w:val="22"/>
        </w:rPr>
      </w:pPr>
    </w:p>
    <w:p w14:paraId="365C794E" w14:textId="4189EF4A" w:rsidR="0007288E" w:rsidRDefault="0007288E" w:rsidP="00B03626">
      <w:pPr>
        <w:pStyle w:val="rozdzia"/>
        <w:jc w:val="left"/>
        <w:rPr>
          <w:sz w:val="22"/>
          <w:szCs w:val="22"/>
        </w:rPr>
      </w:pPr>
    </w:p>
    <w:p w14:paraId="63ADB688" w14:textId="77777777" w:rsidR="0007288E" w:rsidRDefault="0007288E" w:rsidP="00B03626">
      <w:pPr>
        <w:pStyle w:val="rozdzia"/>
        <w:jc w:val="left"/>
        <w:rPr>
          <w:sz w:val="22"/>
          <w:szCs w:val="22"/>
        </w:rPr>
      </w:pPr>
    </w:p>
    <w:p w14:paraId="50C04629" w14:textId="7B506862" w:rsidR="0007288E" w:rsidRDefault="0007288E" w:rsidP="00B03626">
      <w:pPr>
        <w:pStyle w:val="rozdzia"/>
        <w:jc w:val="left"/>
        <w:rPr>
          <w:sz w:val="22"/>
          <w:szCs w:val="22"/>
        </w:rPr>
      </w:pPr>
    </w:p>
    <w:p w14:paraId="56C18178" w14:textId="5890BAD3" w:rsidR="0007288E" w:rsidRDefault="0007288E" w:rsidP="00B03626">
      <w:pPr>
        <w:pStyle w:val="rozdzia"/>
        <w:jc w:val="left"/>
        <w:rPr>
          <w:sz w:val="22"/>
          <w:szCs w:val="22"/>
        </w:rPr>
      </w:pPr>
    </w:p>
    <w:p w14:paraId="435C0F83" w14:textId="77777777" w:rsidR="0007288E" w:rsidRDefault="0007288E" w:rsidP="00B03626">
      <w:pPr>
        <w:pStyle w:val="rozdzia"/>
        <w:jc w:val="left"/>
        <w:rPr>
          <w:sz w:val="22"/>
          <w:szCs w:val="22"/>
        </w:rPr>
      </w:pPr>
    </w:p>
    <w:tbl>
      <w:tblPr>
        <w:tblStyle w:val="Tabela-Siatka"/>
        <w:tblW w:w="14029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4029"/>
      </w:tblGrid>
      <w:tr w:rsidR="00EC4612" w14:paraId="13287ACD" w14:textId="77777777" w:rsidTr="00BE1B05">
        <w:tc>
          <w:tcPr>
            <w:tcW w:w="14029" w:type="dxa"/>
            <w:shd w:val="clear" w:color="auto" w:fill="8DB3E2" w:themeFill="text2" w:themeFillTint="66"/>
          </w:tcPr>
          <w:p w14:paraId="1DF8CF29" w14:textId="77777777" w:rsidR="0007288E" w:rsidRDefault="00EC4612" w:rsidP="007A0ED5">
            <w:pPr>
              <w:pStyle w:val="rozdzia"/>
              <w:jc w:val="both"/>
              <w:rPr>
                <w:lang w:eastAsia="pl-PL"/>
              </w:rPr>
            </w:pPr>
            <w:r w:rsidRPr="00BE1B05">
              <w:rPr>
                <w:u w:val="single"/>
                <w:lang w:eastAsia="pl-PL"/>
              </w:rPr>
              <w:lastRenderedPageBreak/>
              <w:t xml:space="preserve">Dodatkowe wymagania odnoszące się indywidualnie do każdego z pakietów (od 1 do </w:t>
            </w:r>
            <w:r w:rsidR="0007288E">
              <w:rPr>
                <w:u w:val="single"/>
                <w:lang w:eastAsia="pl-PL"/>
              </w:rPr>
              <w:t>2</w:t>
            </w:r>
            <w:r w:rsidRPr="00BE1B05">
              <w:rPr>
                <w:u w:val="single"/>
                <w:lang w:eastAsia="pl-PL"/>
              </w:rPr>
              <w:t>):</w:t>
            </w:r>
            <w:r w:rsidRPr="00BE1B05">
              <w:rPr>
                <w:u w:val="single"/>
                <w:lang w:eastAsia="pl-PL"/>
              </w:rPr>
              <w:br/>
            </w:r>
            <w:r w:rsidRPr="009332CF">
              <w:rPr>
                <w:lang w:eastAsia="pl-PL"/>
              </w:rPr>
              <w:br/>
              <w:t xml:space="preserve">1. Zamówienie należy realizować sukcesywnie tj. w ciągu 3 dni roboczych od dnia złożenia przez Zamawiającego zamówienia faksem lub za pośrednictwem poczty elektronicznej, w okresie 12 miesięcy od dnia </w:t>
            </w:r>
            <w:r w:rsidR="0007288E">
              <w:rPr>
                <w:lang w:eastAsia="pl-PL"/>
              </w:rPr>
              <w:t>ROZPOCZĘCIA OBOWIĄZYWANIA</w:t>
            </w:r>
            <w:r w:rsidRPr="009332CF">
              <w:rPr>
                <w:lang w:eastAsia="pl-PL"/>
              </w:rPr>
              <w:t xml:space="preserve"> umowy, do Magazynu Medycznego Zamawiającego w Tczewie przy ulicy 30-go Stycznia 57/58.</w:t>
            </w:r>
          </w:p>
          <w:p w14:paraId="03E1E9D1" w14:textId="6D301A0E" w:rsidR="007A0ED5" w:rsidRDefault="00EC4612" w:rsidP="007A0ED5">
            <w:pPr>
              <w:pStyle w:val="rozdzia"/>
              <w:jc w:val="both"/>
              <w:rPr>
                <w:lang w:eastAsia="pl-PL"/>
              </w:rPr>
            </w:pPr>
            <w:r w:rsidRPr="009332CF">
              <w:rPr>
                <w:lang w:eastAsia="pl-PL"/>
              </w:rPr>
              <w:br/>
              <w:t>2. Zamawiający wymaga rozładunku i wniesienia towaru do Magazynu Medycznego Zamawiającego.</w:t>
            </w:r>
            <w:r w:rsidRPr="009332CF">
              <w:rPr>
                <w:lang w:eastAsia="pl-PL"/>
              </w:rPr>
              <w:br/>
            </w:r>
            <w:r w:rsidRPr="009332CF">
              <w:rPr>
                <w:lang w:eastAsia="pl-PL"/>
              </w:rPr>
              <w:br/>
              <w:t>3. Zamawiający wymaga podania w tabelach asortymentowo – cenowych zawartych w niniejszym załączniku nr 3 do SWZ, nazwy producenta i numeru katalogowego produktu (o ile numer taki został nadany) oferowanego przedmiotu zamówienia. W przypadku braku numeru katalogowego produktu należy podać w tym miejscu nazwę własną produktu.</w:t>
            </w:r>
            <w:r w:rsidR="00390DBE">
              <w:rPr>
                <w:lang w:eastAsia="pl-PL"/>
              </w:rPr>
              <w:t xml:space="preserve"> Należy wypełnić powyższe tabele asortymentowo – cenowe</w:t>
            </w:r>
            <w:r w:rsidR="00157076">
              <w:rPr>
                <w:lang w:eastAsia="pl-PL"/>
              </w:rPr>
              <w:t xml:space="preserve">, </w:t>
            </w:r>
            <w:r w:rsidR="00390DBE">
              <w:rPr>
                <w:lang w:eastAsia="pl-PL"/>
              </w:rPr>
              <w:t xml:space="preserve">na które wykonawca </w:t>
            </w:r>
            <w:r w:rsidR="00157076">
              <w:rPr>
                <w:lang w:eastAsia="pl-PL"/>
              </w:rPr>
              <w:t xml:space="preserve">SKŁADA </w:t>
            </w:r>
            <w:r w:rsidR="00390DBE">
              <w:rPr>
                <w:lang w:eastAsia="pl-PL"/>
              </w:rPr>
              <w:t>sw</w:t>
            </w:r>
            <w:r w:rsidR="00157076">
              <w:rPr>
                <w:lang w:eastAsia="pl-PL"/>
              </w:rPr>
              <w:t>O</w:t>
            </w:r>
            <w:r w:rsidR="00390DBE">
              <w:rPr>
                <w:lang w:eastAsia="pl-PL"/>
              </w:rPr>
              <w:t>ją ofertę</w:t>
            </w:r>
            <w:r w:rsidR="00157076">
              <w:rPr>
                <w:lang w:eastAsia="pl-PL"/>
              </w:rPr>
              <w:t xml:space="preserve"> I PODPISAĆ</w:t>
            </w:r>
            <w:r w:rsidR="00390DBE">
              <w:rPr>
                <w:lang w:eastAsia="pl-PL"/>
              </w:rPr>
              <w:t>, bądź wypełnić</w:t>
            </w:r>
            <w:r w:rsidR="00157076">
              <w:rPr>
                <w:lang w:eastAsia="pl-PL"/>
              </w:rPr>
              <w:t xml:space="preserve"> </w:t>
            </w:r>
            <w:r w:rsidR="00390DBE">
              <w:rPr>
                <w:lang w:eastAsia="pl-PL"/>
              </w:rPr>
              <w:t>tabele asortymentow</w:t>
            </w:r>
            <w:r w:rsidR="00157076">
              <w:rPr>
                <w:lang w:eastAsia="pl-PL"/>
              </w:rPr>
              <w:t>O</w:t>
            </w:r>
            <w:r w:rsidR="00390DBE">
              <w:rPr>
                <w:lang w:eastAsia="pl-PL"/>
              </w:rPr>
              <w:t xml:space="preserve"> – cenowe, na które wykonawca skł</w:t>
            </w:r>
            <w:r w:rsidR="00157076">
              <w:rPr>
                <w:lang w:eastAsia="pl-PL"/>
              </w:rPr>
              <w:t>A</w:t>
            </w:r>
            <w:r w:rsidR="00390DBE">
              <w:rPr>
                <w:lang w:eastAsia="pl-PL"/>
              </w:rPr>
              <w:t xml:space="preserve">da ofertę </w:t>
            </w:r>
            <w:r w:rsidR="00157076">
              <w:rPr>
                <w:lang w:eastAsia="pl-PL"/>
              </w:rPr>
              <w:t xml:space="preserve">I PODPISAĆ </w:t>
            </w:r>
            <w:r w:rsidR="00390DBE">
              <w:rPr>
                <w:lang w:eastAsia="pl-PL"/>
              </w:rPr>
              <w:t>w załczniku stanowiącym wersję edytowaLNĄ</w:t>
            </w:r>
            <w:r w:rsidR="00157076">
              <w:rPr>
                <w:lang w:eastAsia="pl-PL"/>
              </w:rPr>
              <w:t xml:space="preserve"> (WERSJA EXCEL)</w:t>
            </w:r>
            <w:r w:rsidR="00390DBE">
              <w:rPr>
                <w:lang w:eastAsia="pl-PL"/>
              </w:rPr>
              <w:t xml:space="preserve"> </w:t>
            </w:r>
            <w:r w:rsidR="00157076">
              <w:rPr>
                <w:lang w:eastAsia="pl-PL"/>
              </w:rPr>
              <w:t>POWYŻSZEGO, KTÓRY ZOSTAJE ZAŁĄCZONY DO DOKUMENTACJI POSTĘPOWANIA</w:t>
            </w:r>
            <w:r w:rsidR="008348FC">
              <w:rPr>
                <w:lang w:eastAsia="pl-PL"/>
              </w:rPr>
              <w:t xml:space="preserve"> W CELU SPRAWNIEJSZEGO PROCESU KALKULACJI OFERTY</w:t>
            </w:r>
            <w:r w:rsidR="00157076">
              <w:rPr>
                <w:lang w:eastAsia="pl-PL"/>
              </w:rPr>
              <w:t>. W PRZYPADKU SKORZYSTANIA Z WERSJI EDYTOWALNEJ STOSUJE SIĘ ZASADY ZAWARTE W NINIEJSZYM ZAŁĄCZNIKU</w:t>
            </w:r>
            <w:r w:rsidR="007A0ED5">
              <w:rPr>
                <w:lang w:eastAsia="pl-PL"/>
              </w:rPr>
              <w:t xml:space="preserve"> i swz</w:t>
            </w:r>
            <w:r w:rsidR="00157076">
              <w:rPr>
                <w:lang w:eastAsia="pl-PL"/>
              </w:rPr>
              <w:t>.</w:t>
            </w:r>
          </w:p>
          <w:p w14:paraId="042C9E7C" w14:textId="77777777" w:rsidR="007A0ED5" w:rsidRDefault="00157076" w:rsidP="007A0ED5">
            <w:pPr>
              <w:pStyle w:val="rozdzia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 w:rsidR="00EC4612" w:rsidRPr="009332CF">
              <w:rPr>
                <w:lang w:eastAsia="pl-PL"/>
              </w:rPr>
              <w:br/>
              <w:t>4. Zamawiający wymaga dostarczenia przedmiotu zamówienia z min. 12-miesięcznym terminem ważności</w:t>
            </w:r>
            <w:r w:rsidR="007A0ED5">
              <w:rPr>
                <w:lang w:eastAsia="pl-PL"/>
              </w:rPr>
              <w:t xml:space="preserve"> (poza wyjątkami opisanymi w swz i dokumentach postępowania)</w:t>
            </w:r>
            <w:r w:rsidR="00EC4612" w:rsidRPr="009332CF">
              <w:rPr>
                <w:lang w:eastAsia="pl-PL"/>
              </w:rPr>
              <w:t xml:space="preserve"> lub poinformowania podczas składania zamówienia o krótszym terminie – wymagana jest zgoda Zamawiającego.</w:t>
            </w:r>
          </w:p>
          <w:p w14:paraId="4C4B945F" w14:textId="3EC8BEA2" w:rsidR="008348FC" w:rsidRDefault="00EC4612" w:rsidP="007A0ED5">
            <w:pPr>
              <w:pStyle w:val="rozdzia"/>
              <w:jc w:val="both"/>
              <w:rPr>
                <w:lang w:eastAsia="pl-PL"/>
              </w:rPr>
            </w:pPr>
            <w:r w:rsidRPr="009332CF">
              <w:rPr>
                <w:lang w:eastAsia="pl-PL"/>
              </w:rPr>
              <w:br/>
              <w:t>5. Wszelkie przeliczenia zaokrągla się matematycznie – do 0,4 włącznie „w dół”, od 0,5 włącznie „w górę”. Wszelkie przeliczenia i zaokrąglenia dokonać należy do drugiego miejsca po przecinku, zapisy SWZ w cz. XVII w tym zakresie stosuje się odpowiednio.</w:t>
            </w:r>
          </w:p>
          <w:p w14:paraId="6FCB18FD" w14:textId="1E9B7105" w:rsidR="008348FC" w:rsidRDefault="00EC4612" w:rsidP="007A0ED5">
            <w:pPr>
              <w:pStyle w:val="rozdzia"/>
              <w:jc w:val="both"/>
              <w:rPr>
                <w:lang w:eastAsia="pl-PL"/>
              </w:rPr>
            </w:pPr>
            <w:r w:rsidRPr="009332CF">
              <w:rPr>
                <w:lang w:eastAsia="pl-PL"/>
              </w:rPr>
              <w:br/>
              <w:t>6. Wszystkie miejsca w tabelach</w:t>
            </w:r>
            <w:r w:rsidR="008348FC">
              <w:rPr>
                <w:lang w:eastAsia="pl-PL"/>
              </w:rPr>
              <w:t>, NA KTÓRE WYKONAWCA SKŁADA SWOJĄ OFERTĘ</w:t>
            </w:r>
            <w:r w:rsidRPr="009332CF">
              <w:rPr>
                <w:lang w:eastAsia="pl-PL"/>
              </w:rPr>
              <w:t>, muszą zostać wypełnione przez Wykonawcę, zgodnie z ich nazwami, określonymi w nagłówkach za wyjątkiem przypadków opisanych niniejszą SWZ.</w:t>
            </w:r>
          </w:p>
          <w:p w14:paraId="03B2A876" w14:textId="77777777" w:rsidR="008348FC" w:rsidRDefault="008348FC" w:rsidP="008348FC">
            <w:pPr>
              <w:pStyle w:val="rozdzia"/>
              <w:jc w:val="both"/>
              <w:rPr>
                <w:lang w:eastAsia="pl-PL"/>
              </w:rPr>
            </w:pPr>
          </w:p>
          <w:p w14:paraId="23FCDA83" w14:textId="77777777" w:rsidR="00420BE7" w:rsidRDefault="00EC4612" w:rsidP="008348FC">
            <w:pPr>
              <w:pStyle w:val="rozdzia"/>
              <w:jc w:val="both"/>
              <w:rPr>
                <w:lang w:eastAsia="pl-PL"/>
              </w:rPr>
            </w:pPr>
            <w:r w:rsidRPr="009332CF">
              <w:rPr>
                <w:lang w:eastAsia="pl-PL"/>
              </w:rPr>
              <w:t xml:space="preserve">7. CAŁY ZAOFEROWANY PRZEDMIOT ZAMÓWIENIA W TABELACH DLA PAKIETÓW OD 1 DO </w:t>
            </w:r>
            <w:r w:rsidR="00420BE7">
              <w:rPr>
                <w:lang w:eastAsia="pl-PL"/>
              </w:rPr>
              <w:t>2</w:t>
            </w:r>
            <w:r w:rsidRPr="009332CF">
              <w:rPr>
                <w:lang w:eastAsia="pl-PL"/>
              </w:rPr>
              <w:t xml:space="preserve"> MUSI BYĆ DOPUSZCZONY DO STOSOWANIA W OBSZARZE MEDYCZNYM. </w:t>
            </w:r>
          </w:p>
          <w:p w14:paraId="23D1DA3C" w14:textId="0FF4235A" w:rsidR="00EC4612" w:rsidRDefault="00EC4612" w:rsidP="008348FC">
            <w:pPr>
              <w:pStyle w:val="rozdzia"/>
              <w:jc w:val="both"/>
              <w:rPr>
                <w:lang w:eastAsia="pl-PL"/>
              </w:rPr>
            </w:pPr>
            <w:r w:rsidRPr="009332CF">
              <w:rPr>
                <w:lang w:eastAsia="pl-PL"/>
              </w:rPr>
              <w:lastRenderedPageBreak/>
              <w:br/>
            </w:r>
            <w:r w:rsidRPr="009332CF">
              <w:rPr>
                <w:lang w:eastAsia="pl-PL"/>
              </w:rPr>
              <w:br/>
              <w:t>UWAGA: Wykonawca składając swoją ofertę w niniejszym postępowaniu oświadcza równocześnie, iż jest uprawniony do swobodnego rozporządzania zaoferowanymi Produktami, które są wolne od wad fizycznych i prawnych oraz, że posiada wszelkie niezbędne uprawnienia oraz zgody, zezwolenia odpowiednich organów, urzędów, wyniki badań, certyfikaty, oświadczenia, deklaracje</w:t>
            </w:r>
            <w:r w:rsidR="007E1D77">
              <w:rPr>
                <w:lang w:eastAsia="pl-PL"/>
              </w:rPr>
              <w:t xml:space="preserve"> (w tym wskazane w tabelach asortymentowo – cenowych, w niniejszym załączniku)</w:t>
            </w:r>
            <w:r w:rsidRPr="009332CF">
              <w:rPr>
                <w:lang w:eastAsia="pl-PL"/>
              </w:rPr>
              <w:t xml:space="preserve"> itp. do realizacji przedmiotu umowy oraz że wykonanie niniejszego zamówienia przez Wykonawcę nie będzie naruszać jakichkolwiek praw osób trzecich. Wykonawca zobowiązuje się do przedłożenia Zamawiającemu dokumentów potwierdzających posiadanie przez Wykonawcę niezbędnych dokumentów, o których mowa w zdaniu poprzedzającym wymaganych dla przedmiotu zamówienia w niniejszym opisie, na każde żądanie Zamawiającego, o czym mowa w projekcie umowy  (zał. Nr 4 do SWZ)</w:t>
            </w:r>
          </w:p>
          <w:p w14:paraId="024225F7" w14:textId="77777777" w:rsidR="007E1D77" w:rsidRDefault="007E1D77" w:rsidP="008348FC">
            <w:pPr>
              <w:pStyle w:val="rozdzia"/>
              <w:jc w:val="both"/>
              <w:rPr>
                <w:sz w:val="22"/>
                <w:szCs w:val="22"/>
              </w:rPr>
            </w:pPr>
          </w:p>
          <w:p w14:paraId="13C55158" w14:textId="5769A2E6" w:rsidR="007E1D77" w:rsidRDefault="007E1D77" w:rsidP="008348FC">
            <w:pPr>
              <w:pStyle w:val="rozdzi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UWAGA: w przypadku wątpliwości wykonawcy</w:t>
            </w:r>
            <w:r w:rsidR="00420B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zamawiający informuje, iż wskazał dokumenty </w:t>
            </w:r>
            <w:r w:rsidR="00420BE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oświadczenia jakich wymaga od wykonawców w niniejszym postępowaniu dla przedmiotu zamówienia w cz. IX swz. </w:t>
            </w:r>
          </w:p>
          <w:p w14:paraId="6DF3AB72" w14:textId="77777777" w:rsidR="00010846" w:rsidRDefault="00010846" w:rsidP="008348FC">
            <w:pPr>
              <w:pStyle w:val="rozdzia"/>
              <w:jc w:val="both"/>
              <w:rPr>
                <w:sz w:val="22"/>
                <w:szCs w:val="22"/>
              </w:rPr>
            </w:pPr>
          </w:p>
          <w:p w14:paraId="5DEE1F02" w14:textId="2D74182A" w:rsidR="00010846" w:rsidRDefault="00010846" w:rsidP="008348FC">
            <w:pPr>
              <w:pStyle w:val="rozdzi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uwaga: zamawiający nie wydziela pozycji z pakietów. </w:t>
            </w:r>
          </w:p>
        </w:tc>
      </w:tr>
    </w:tbl>
    <w:p w14:paraId="1AB44199" w14:textId="77777777" w:rsidR="004B42F7" w:rsidRDefault="004B42F7" w:rsidP="00B03626">
      <w:pPr>
        <w:pStyle w:val="rozdzia"/>
        <w:jc w:val="left"/>
        <w:rPr>
          <w:sz w:val="22"/>
          <w:szCs w:val="22"/>
        </w:rPr>
        <w:sectPr w:rsidR="004B42F7" w:rsidSect="009332CF">
          <w:footerReference w:type="default" r:id="rId8"/>
          <w:pgSz w:w="15840" w:h="12240" w:orient="landscape"/>
          <w:pgMar w:top="1418" w:right="851" w:bottom="1418" w:left="1276" w:header="709" w:footer="709" w:gutter="0"/>
          <w:cols w:space="708"/>
          <w:docGrid w:linePitch="360"/>
        </w:sectPr>
      </w:pPr>
    </w:p>
    <w:p w14:paraId="0386C000" w14:textId="77777777" w:rsidR="004B42F7" w:rsidRPr="00C37C79" w:rsidRDefault="004B42F7" w:rsidP="00625692">
      <w:pPr>
        <w:keepNext/>
        <w:suppressAutoHyphens/>
        <w:outlineLvl w:val="0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9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3ABF" w14:textId="77777777" w:rsidR="005A70B4" w:rsidRDefault="005A70B4">
      <w:r>
        <w:separator/>
      </w:r>
    </w:p>
  </w:endnote>
  <w:endnote w:type="continuationSeparator" w:id="0">
    <w:p w14:paraId="17B9E4B8" w14:textId="77777777" w:rsidR="005A70B4" w:rsidRDefault="005A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FE59" w14:textId="77777777" w:rsidR="00835068" w:rsidRDefault="0083506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105</w:t>
    </w:r>
    <w:r>
      <w:fldChar w:fldCharType="end"/>
    </w:r>
  </w:p>
  <w:p w14:paraId="6C3F90EB" w14:textId="77777777" w:rsidR="00835068" w:rsidRDefault="008350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160C" w14:textId="77777777" w:rsidR="005A70B4" w:rsidRDefault="005A70B4">
      <w:r>
        <w:separator/>
      </w:r>
    </w:p>
  </w:footnote>
  <w:footnote w:type="continuationSeparator" w:id="0">
    <w:p w14:paraId="47C9B35E" w14:textId="77777777" w:rsidR="005A70B4" w:rsidRDefault="005A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88E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0BE7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4AA2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A70B4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0AF5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692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04EC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37D5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0015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03A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178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6C56"/>
    <w:rsid w:val="00C37C79"/>
    <w:rsid w:val="00C41211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41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5A0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6528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8</cp:revision>
  <cp:lastPrinted>2021-04-26T12:14:00Z</cp:lastPrinted>
  <dcterms:created xsi:type="dcterms:W3CDTF">2022-05-11T07:06:00Z</dcterms:created>
  <dcterms:modified xsi:type="dcterms:W3CDTF">2022-08-01T09:57:00Z</dcterms:modified>
</cp:coreProperties>
</file>