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43" w:rsidRDefault="00475C43" w:rsidP="00475C43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pacing w:val="4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pacing w:val="4"/>
          <w:sz w:val="27"/>
          <w:szCs w:val="27"/>
          <w:lang w:eastAsia="pl-PL"/>
        </w:rPr>
        <w:t>OPIS PRZEDMIOTU ZAMÓWIENIA</w:t>
      </w:r>
    </w:p>
    <w:p w:rsidR="00A732C2" w:rsidRDefault="00A732C2" w:rsidP="00475C43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pacing w:val="4"/>
          <w:sz w:val="27"/>
          <w:szCs w:val="27"/>
          <w:lang w:eastAsia="pl-PL"/>
        </w:rPr>
      </w:pPr>
    </w:p>
    <w:p w:rsidR="00A732C2" w:rsidRPr="00E51D30" w:rsidRDefault="00A732C2" w:rsidP="00A732C2">
      <w:pPr>
        <w:shd w:val="clear" w:color="auto" w:fill="FFFFFF"/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</w:pPr>
      <w:r w:rsidRPr="00E51D30"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  <w:t>Komplet składający się z urządzenia</w:t>
      </w:r>
      <w:r w:rsidR="002D38E7" w:rsidRPr="00E51D30"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  <w:t xml:space="preserve"> gastronomicznego</w:t>
      </w:r>
      <w:r w:rsidRPr="00E51D30"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  <w:t xml:space="preserve"> do zgrzewania wraz z folią i okrągłymi pojemnikami</w:t>
      </w:r>
      <w:r w:rsidR="008C3647" w:rsidRPr="00E51D30"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  <w:t xml:space="preserve"> </w:t>
      </w:r>
      <w:r w:rsidR="00E51D30" w:rsidRPr="00E51D30"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  <w:t xml:space="preserve">do zup </w:t>
      </w:r>
      <w:r w:rsidR="008C3647" w:rsidRPr="00E51D30"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  <w:t>o poj. 400 – 500 ml. (1</w:t>
      </w:r>
      <w:r w:rsidR="00596704"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  <w:t xml:space="preserve">0 </w:t>
      </w:r>
      <w:r w:rsidR="008C3647" w:rsidRPr="00E51D30">
        <w:rPr>
          <w:rFonts w:ascii="Arial" w:eastAsia="Times New Roman" w:hAnsi="Arial" w:cs="Arial"/>
          <w:b/>
          <w:bCs/>
          <w:color w:val="333333"/>
          <w:spacing w:val="4"/>
          <w:sz w:val="24"/>
          <w:szCs w:val="24"/>
          <w:lang w:eastAsia="pl-PL"/>
        </w:rPr>
        <w:t>000 szt.)</w:t>
      </w:r>
    </w:p>
    <w:p w:rsidR="00475C43" w:rsidRDefault="00475C43" w:rsidP="00475C43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pacing w:val="4"/>
          <w:sz w:val="27"/>
          <w:szCs w:val="27"/>
          <w:lang w:eastAsia="pl-PL"/>
        </w:rPr>
      </w:pPr>
    </w:p>
    <w:p w:rsidR="00E52D5D" w:rsidRPr="00E51D30" w:rsidRDefault="00C355F0" w:rsidP="00E51D30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lang w:eastAsia="pl-PL"/>
        </w:rPr>
      </w:pPr>
      <w:hyperlink r:id="rId5" w:tooltip="Zgrzewarka do tacek z matrycą niedzieloną 227x178 mm, basic | TECHNICA, Silver Line" w:history="1">
        <w:r w:rsidR="00E52D5D" w:rsidRPr="00E51D30">
          <w:rPr>
            <w:rFonts w:ascii="Arial" w:eastAsia="Times New Roman" w:hAnsi="Arial" w:cs="Arial"/>
            <w:b/>
            <w:bCs/>
            <w:color w:val="333333"/>
            <w:spacing w:val="4"/>
            <w:sz w:val="20"/>
            <w:szCs w:val="20"/>
            <w:u w:val="single"/>
            <w:lang w:eastAsia="pl-PL"/>
          </w:rPr>
          <w:t xml:space="preserve">Zgrzewarka do tacek z matrycą na okrągły pojemnik </w:t>
        </w:r>
      </w:hyperlink>
    </w:p>
    <w:p w:rsidR="002E6AEE" w:rsidRPr="00E51D30" w:rsidRDefault="00E52D5D" w:rsidP="00E51D30">
      <w:pPr>
        <w:shd w:val="clear" w:color="auto" w:fill="FFFFFF"/>
        <w:spacing w:before="120" w:after="120" w:line="240" w:lineRule="auto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  <w:t>Zgrzewarka do pakowanie art. i produktów spożywczych, przetworów, produktów garmażeryjnych, produktów spożywczych. W komplecie matryca do pojemników jednokomorowych, ok</w:t>
      </w:r>
      <w:r w:rsidR="00475C43" w:rsidRPr="00E51D30"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  <w:t>rągłych o pojemności 400-</w:t>
      </w:r>
      <w:r w:rsidRPr="00E51D30"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  <w:t>5</w:t>
      </w:r>
      <w:r w:rsidR="00475C43" w:rsidRPr="00E51D30"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  <w:t>0</w:t>
      </w:r>
      <w:r w:rsidRPr="00E51D30"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  <w:t>0 ml</w:t>
      </w:r>
      <w:r w:rsidR="002E6AEE" w:rsidRPr="00E51D30"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  <w:t xml:space="preserve">. </w:t>
      </w:r>
    </w:p>
    <w:p w:rsidR="002E6AEE" w:rsidRPr="00E51D30" w:rsidRDefault="002E6AEE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konstrukcja ze stali nierdzewnej z pokrywą z mechanizmem sprężynowym dla łatwego i bezpiecznego otwierania</w:t>
      </w:r>
    </w:p>
    <w:p w:rsidR="002E6AEE" w:rsidRPr="00E51D30" w:rsidRDefault="002E6AEE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proces zgrzewania powinien odbywać się w sposób </w:t>
      </w:r>
      <w:proofErr w:type="spellStart"/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bezwysiłkowy</w:t>
      </w:r>
      <w:proofErr w:type="spellEnd"/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(zastosowanie łożysk)</w:t>
      </w:r>
    </w:p>
    <w:p w:rsidR="002E6AEE" w:rsidRPr="00E51D30" w:rsidRDefault="002E6AEE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z amortyzatorem docisku zapewniającym szczelność pakowania i zapobiegający zgniataniu opakowań</w:t>
      </w:r>
    </w:p>
    <w:p w:rsidR="002E6AEE" w:rsidRPr="00E51D30" w:rsidRDefault="002E6AEE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</w:rPr>
        <w:t>rączka powinna być i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zolowana z tworzywa odpornego na uszkodzenia</w:t>
      </w:r>
    </w:p>
    <w:p w:rsidR="00A732C2" w:rsidRPr="00E51D30" w:rsidRDefault="002E6AEE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z wysuwaną gilotyną z bezpiecznym nożem w spec</w:t>
      </w:r>
      <w:r w:rsidR="008C3647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jalnie zaprojektowanej osłonie</w:t>
      </w:r>
    </w:p>
    <w:p w:rsidR="00A732C2" w:rsidRPr="00E51D30" w:rsidRDefault="00A732C2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</w:rPr>
        <w:t>z p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odajnik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iem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folii z napinaczem zapobiega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jącym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zwijaniu się folii</w:t>
      </w:r>
    </w:p>
    <w:p w:rsidR="00A732C2" w:rsidRPr="00E51D30" w:rsidRDefault="002E6AEE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szybki </w:t>
      </w:r>
      <w:proofErr w:type="spellStart"/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zgrzew</w:t>
      </w:r>
      <w:proofErr w:type="spellEnd"/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w 1-3 sekundy (w zależności od grubości filmu)</w:t>
      </w:r>
    </w:p>
    <w:p w:rsidR="00A732C2" w:rsidRPr="00E51D30" w:rsidRDefault="00A732C2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</w:rPr>
        <w:t>z g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rzałk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ami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o dużej mocy redukującymi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czas nagrzewania</w:t>
      </w:r>
    </w:p>
    <w:p w:rsidR="00A732C2" w:rsidRPr="00E51D30" w:rsidRDefault="00A732C2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z p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okrętł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em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z precyzyjną regulacją temperatury zgrzewania w zakresie 50°C – 210°C</w:t>
      </w:r>
    </w:p>
    <w:p w:rsidR="00A732C2" w:rsidRPr="00E51D30" w:rsidRDefault="00A732C2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</w:rPr>
        <w:t xml:space="preserve">wyposażona w </w:t>
      </w:r>
      <w:r w:rsidR="002E6AEE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bezpiecznik przeciążeniowy, podświetlany wyłącznik bezpieczeństwa</w:t>
      </w:r>
    </w:p>
    <w:p w:rsidR="002E6AEE" w:rsidRPr="00E51D30" w:rsidRDefault="002E6AEE" w:rsidP="00E51D30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jc w:val="both"/>
        <w:outlineLvl w:val="1"/>
        <w:rPr>
          <w:rFonts w:ascii="Arial" w:hAnsi="Arial" w:cs="Arial"/>
          <w:color w:val="666666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230V/700W</w:t>
      </w:r>
    </w:p>
    <w:p w:rsidR="004C1D41" w:rsidRPr="00E51D30" w:rsidRDefault="00E52D5D" w:rsidP="00E51D30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Matryca/ramka wymienna do zgrzewarki do tacek wykonana z aluminium anodowanego</w:t>
      </w:r>
    </w:p>
    <w:p w:rsidR="004C1D41" w:rsidRPr="00E51D30" w:rsidRDefault="00E52D5D" w:rsidP="00E51D30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Zapewnia</w:t>
      </w:r>
      <w:r w:rsidR="004C1D41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jąca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łatwe i precyzyjne foliowanie pojemników do transportu żywności</w:t>
      </w:r>
    </w:p>
    <w:p w:rsidR="00E52D5D" w:rsidRPr="00E51D30" w:rsidRDefault="00E52D5D" w:rsidP="00E51D30">
      <w:pPr>
        <w:pStyle w:val="Akapitzlist"/>
        <w:numPr>
          <w:ilvl w:val="0"/>
          <w:numId w:val="4"/>
        </w:numPr>
        <w:spacing w:before="24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</w:pPr>
      <w:r w:rsidRPr="00E51D30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 xml:space="preserve">Folia PEEL do zgrzewarki </w:t>
      </w:r>
    </w:p>
    <w:p w:rsidR="004C1D41" w:rsidRPr="00E51D30" w:rsidRDefault="00E52D5D" w:rsidP="00E51D30">
      <w:pPr>
        <w:spacing w:before="120" w:after="120" w:line="240" w:lineRule="auto"/>
        <w:jc w:val="both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Folia PEEL do urządzeń zgrzewający</w:t>
      </w:r>
      <w:r w:rsidR="002D38E7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ch. Zapewnia szczelność opakowań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do przechowywania i transportu żywności.</w:t>
      </w:r>
      <w:r w:rsidR="002D38E7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Szerokość dopasowana do pojemnika i zgrzewarki.</w:t>
      </w:r>
      <w:r w:rsidR="00C355F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Ilość szt. potrzebna do zgrzania 10 000 szt. pojemników z zupą.</w:t>
      </w:r>
      <w:bookmarkStart w:id="0" w:name="_GoBack"/>
      <w:bookmarkEnd w:id="0"/>
    </w:p>
    <w:p w:rsidR="00E52D5D" w:rsidRPr="00E51D30" w:rsidRDefault="00E52D5D" w:rsidP="00E51D30">
      <w:pPr>
        <w:pStyle w:val="Akapitzlist"/>
        <w:numPr>
          <w:ilvl w:val="0"/>
          <w:numId w:val="4"/>
        </w:numPr>
        <w:spacing w:before="24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</w:pPr>
      <w:r w:rsidRPr="00E51D30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 xml:space="preserve">Pojemnik okrągły do </w:t>
      </w:r>
      <w:proofErr w:type="spellStart"/>
      <w:r w:rsidRPr="00E51D30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>zgrzewu</w:t>
      </w:r>
      <w:proofErr w:type="spellEnd"/>
      <w:r w:rsidRPr="00E51D30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 xml:space="preserve"> do transportu dań gotowych </w:t>
      </w:r>
      <w:r w:rsidR="008C3647" w:rsidRPr="00E51D30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 xml:space="preserve">400 – </w:t>
      </w:r>
      <w:r w:rsidRPr="00E51D30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>5</w:t>
      </w:r>
      <w:r w:rsidR="008C3647" w:rsidRPr="00E51D30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>0</w:t>
      </w:r>
      <w:r w:rsidRPr="00E51D30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>0 ml.</w:t>
      </w:r>
      <w:r w:rsidR="00596704">
        <w:rPr>
          <w:rFonts w:ascii="Arial" w:eastAsia="Times New Roman" w:hAnsi="Arial" w:cs="Arial"/>
          <w:b/>
          <w:bCs/>
          <w:color w:val="333333"/>
          <w:spacing w:val="4"/>
          <w:sz w:val="20"/>
          <w:szCs w:val="20"/>
          <w:u w:val="single"/>
          <w:lang w:eastAsia="pl-PL"/>
        </w:rPr>
        <w:t xml:space="preserve"> (10 000 szt.)</w:t>
      </w:r>
    </w:p>
    <w:p w:rsidR="004C1D41" w:rsidRPr="00E51D30" w:rsidRDefault="00E52D5D" w:rsidP="00E51D30">
      <w:pPr>
        <w:spacing w:before="120" w:after="120" w:line="240" w:lineRule="auto"/>
        <w:jc w:val="both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Pojemniki PP przystosowane do hermetycznego za</w:t>
      </w:r>
      <w:r w:rsidR="004C1D41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mykania na maszynach pakujących, 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opakowania jednorazowego do dań na wynos</w:t>
      </w:r>
      <w:r w:rsidR="002D38E7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(zup)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.</w:t>
      </w:r>
      <w:r w:rsidR="002D38E7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Pojemniki </w:t>
      </w:r>
      <w:r w:rsidR="00E51D30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kompatybilne ze </w:t>
      </w:r>
      <w:r w:rsidR="002D38E7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zgrzewa</w:t>
      </w:r>
      <w:r w:rsidR="00E51D30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rką i folią.</w:t>
      </w:r>
      <w:r w:rsidR="002D38E7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</w:t>
      </w:r>
    </w:p>
    <w:p w:rsidR="004C1D41" w:rsidRPr="00E51D30" w:rsidRDefault="004C1D41" w:rsidP="00E51D30">
      <w:pPr>
        <w:spacing w:before="120" w:after="120" w:line="240" w:lineRule="auto"/>
        <w:jc w:val="both"/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Opis produktu:</w:t>
      </w:r>
    </w:p>
    <w:p w:rsidR="004C1D41" w:rsidRPr="00E51D30" w:rsidRDefault="004C1D41" w:rsidP="00E51D30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d</w:t>
      </w:r>
      <w:r w:rsidR="00E52D5D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uża sztywność, </w:t>
      </w:r>
    </w:p>
    <w:p w:rsidR="004C1D41" w:rsidRPr="00E51D30" w:rsidRDefault="00E52D5D" w:rsidP="00E51D30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wysokie własności termoizolacyjne, </w:t>
      </w:r>
    </w:p>
    <w:p w:rsidR="00475C43" w:rsidRPr="00E51D30" w:rsidRDefault="00E52D5D" w:rsidP="00E51D30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możliwość wykorzystania do bezpośredniej konsumpcji </w:t>
      </w:r>
    </w:p>
    <w:p w:rsidR="004C1D41" w:rsidRPr="00E51D30" w:rsidRDefault="00475C43" w:rsidP="00E51D30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możliwość</w:t>
      </w:r>
      <w:r w:rsidR="00E52D5D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wykorzysta</w:t>
      </w:r>
      <w:r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>nia</w:t>
      </w:r>
      <w:r w:rsidR="00E52D5D" w:rsidRPr="00E51D30">
        <w:rPr>
          <w:rFonts w:ascii="Arial" w:hAnsi="Arial" w:cs="Arial"/>
          <w:color w:val="333333"/>
          <w:spacing w:val="4"/>
          <w:sz w:val="20"/>
          <w:szCs w:val="20"/>
          <w:shd w:val="clear" w:color="auto" w:fill="FFFFFF"/>
        </w:rPr>
        <w:t xml:space="preserve"> do pakowania dań gorących oraz schłodzonych.</w:t>
      </w:r>
    </w:p>
    <w:sectPr w:rsidR="004C1D41" w:rsidRPr="00E5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FAB"/>
    <w:multiLevelType w:val="hybridMultilevel"/>
    <w:tmpl w:val="B3509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A291F"/>
    <w:multiLevelType w:val="hybridMultilevel"/>
    <w:tmpl w:val="9ED0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2DB8"/>
    <w:multiLevelType w:val="hybridMultilevel"/>
    <w:tmpl w:val="6F605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37914"/>
    <w:multiLevelType w:val="hybridMultilevel"/>
    <w:tmpl w:val="6E92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C9"/>
    <w:rsid w:val="002D38E7"/>
    <w:rsid w:val="002E6AEE"/>
    <w:rsid w:val="00475C43"/>
    <w:rsid w:val="004C1D41"/>
    <w:rsid w:val="00572EF6"/>
    <w:rsid w:val="00573EC9"/>
    <w:rsid w:val="00596704"/>
    <w:rsid w:val="008B6E26"/>
    <w:rsid w:val="008C3647"/>
    <w:rsid w:val="00A732C2"/>
    <w:rsid w:val="00C355F0"/>
    <w:rsid w:val="00E51D30"/>
    <w:rsid w:val="00E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5C32"/>
  <w15:chartTrackingRefBased/>
  <w15:docId w15:val="{50E12B4E-CFFB-4BA0-B7CD-1105AB59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52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2D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2D5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2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E52D5D"/>
    <w:rPr>
      <w:b/>
      <w:bCs/>
    </w:rPr>
  </w:style>
  <w:style w:type="paragraph" w:styleId="Akapitzlist">
    <w:name w:val="List Paragraph"/>
    <w:basedOn w:val="Normalny"/>
    <w:uiPriority w:val="34"/>
    <w:qFormat/>
    <w:rsid w:val="004C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lep.technica.pl/pakowarki-foliowe/zgrzewarka-do-tacek-basic-technica-silver-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Gąsiewicz-Bobek Magdalena</cp:lastModifiedBy>
  <cp:revision>6</cp:revision>
  <cp:lastPrinted>2022-09-21T11:14:00Z</cp:lastPrinted>
  <dcterms:created xsi:type="dcterms:W3CDTF">2022-09-21T10:17:00Z</dcterms:created>
  <dcterms:modified xsi:type="dcterms:W3CDTF">2022-09-21T12:51:00Z</dcterms:modified>
</cp:coreProperties>
</file>