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9DA96EA" w:rsidR="00723C18" w:rsidRPr="00723C18" w:rsidRDefault="007758AD" w:rsidP="00723C18">
      <w:pPr>
        <w:tabs>
          <w:tab w:val="left" w:pos="1880"/>
        </w:tabs>
        <w:spacing w:after="8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D4753">
        <w:rPr>
          <w:rFonts w:ascii="Arial" w:hAnsi="Arial" w:cs="Arial"/>
          <w:b/>
          <w:bCs/>
          <w:sz w:val="20"/>
          <w:szCs w:val="20"/>
        </w:rPr>
        <w:t>podmiotu udostępniającego zasoby,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>
        <w:rPr>
          <w:rFonts w:ascii="Arial" w:hAnsi="Arial" w:cs="Arial"/>
          <w:b/>
          <w:bCs/>
          <w:sz w:val="20"/>
          <w:szCs w:val="20"/>
        </w:rPr>
        <w:br/>
      </w:r>
      <w:r w:rsidR="00723C18"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095AB5" w14:textId="279E6295" w:rsidR="007758AD" w:rsidRPr="00C15CB6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060905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369A3898" w:rsidR="007758AD" w:rsidRPr="001A6CBA" w:rsidRDefault="006F6039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6F6039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F22795">
        <w:rPr>
          <w:rFonts w:ascii="Arial" w:hAnsi="Arial" w:cs="Arial"/>
          <w:b/>
          <w:sz w:val="20"/>
          <w:szCs w:val="20"/>
        </w:rPr>
        <w:br/>
      </w:r>
      <w:r w:rsidRPr="006F6039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="007758AD" w:rsidRPr="001A6CBA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1FECAF23" w:rsidR="007758AD" w:rsidRPr="001A6CBA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 xml:space="preserve">Znak sprawy: </w:t>
      </w:r>
      <w:r w:rsidR="001479E5" w:rsidRPr="00060905">
        <w:rPr>
          <w:rFonts w:ascii="Arial" w:hAnsi="Arial" w:cs="Arial"/>
          <w:b/>
          <w:sz w:val="20"/>
          <w:szCs w:val="20"/>
        </w:rPr>
        <w:t>KML-40/2023</w:t>
      </w:r>
    </w:p>
    <w:p w14:paraId="05E4C8EE" w14:textId="77777777" w:rsidR="007758AD" w:rsidRPr="001A6CB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943849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943849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3EDF26D1" w:rsidR="007758AD" w:rsidRPr="00943849" w:rsidRDefault="007758AD" w:rsidP="00723C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Nazwa(y)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Podmiotu(ów) udostępniającego(ych) zasoby</w:t>
            </w:r>
          </w:p>
        </w:tc>
        <w:tc>
          <w:tcPr>
            <w:tcW w:w="3022" w:type="dxa"/>
          </w:tcPr>
          <w:p w14:paraId="0FEDA006" w14:textId="6A758B6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Adres(y)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6A5244F1" w14:textId="5579E68D" w:rsidR="007758AD" w:rsidRPr="001A6CBA" w:rsidRDefault="007758AD" w:rsidP="007758AD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Pr="00943849">
        <w:rPr>
          <w:rFonts w:ascii="Arial" w:hAnsi="Arial" w:cs="Arial"/>
          <w:spacing w:val="4"/>
          <w:sz w:val="20"/>
          <w:szCs w:val="20"/>
        </w:rPr>
        <w:t>pn</w:t>
      </w:r>
      <w:r w:rsidRPr="001A6CBA">
        <w:rPr>
          <w:rFonts w:ascii="Arial" w:hAnsi="Arial" w:cs="Arial"/>
          <w:spacing w:val="4"/>
          <w:sz w:val="20"/>
          <w:szCs w:val="20"/>
        </w:rPr>
        <w:t>.: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="0048093E">
        <w:rPr>
          <w:rFonts w:ascii="Arial" w:hAnsi="Arial" w:cs="Arial"/>
          <w:sz w:val="20"/>
          <w:szCs w:val="20"/>
        </w:rPr>
        <w:br/>
      </w:r>
      <w:r w:rsidR="006F6039" w:rsidRPr="006F6039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15 158,924 MWh </w:t>
      </w:r>
      <w:r w:rsidR="00F22795">
        <w:rPr>
          <w:rFonts w:ascii="Arial" w:hAnsi="Arial" w:cs="Arial"/>
          <w:b/>
          <w:bCs/>
          <w:sz w:val="20"/>
          <w:szCs w:val="20"/>
        </w:rPr>
        <w:br/>
      </w:r>
      <w:bookmarkStart w:id="1" w:name="_GoBack"/>
      <w:bookmarkEnd w:id="1"/>
      <w:r w:rsidR="006F6039" w:rsidRPr="006F6039">
        <w:rPr>
          <w:rFonts w:ascii="Arial" w:hAnsi="Arial" w:cs="Arial"/>
          <w:b/>
          <w:bCs/>
          <w:sz w:val="20"/>
          <w:szCs w:val="20"/>
        </w:rPr>
        <w:t>w okresie od 01.01.2024 r. do 31.12.2024 r. dla obiektów Spółki „Wodociągi Kieleckie”</w:t>
      </w:r>
      <w:r w:rsidRPr="001A6CBA">
        <w:rPr>
          <w:rFonts w:ascii="Arial" w:hAnsi="Arial" w:cs="Arial"/>
          <w:b/>
          <w:sz w:val="20"/>
          <w:szCs w:val="20"/>
        </w:rPr>
        <w:t>,</w:t>
      </w:r>
      <w:r w:rsidRPr="001A6CBA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712BD499" w14:textId="24E141E4" w:rsidR="007758AD" w:rsidRPr="001A6CB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87594">
        <w:rPr>
          <w:rFonts w:ascii="Arial" w:hAnsi="Arial" w:cs="Arial"/>
          <w:b/>
          <w:snapToGrid w:val="0"/>
          <w:u w:val="single"/>
        </w:rPr>
        <w:t xml:space="preserve">oświadczam, </w:t>
      </w:r>
      <w:r w:rsidR="00723C18" w:rsidRPr="00287594">
        <w:rPr>
          <w:rFonts w:ascii="Arial" w:hAnsi="Arial" w:cs="Arial"/>
          <w:b/>
          <w:snapToGrid w:val="0"/>
          <w:u w:val="single"/>
        </w:rPr>
        <w:t>co następuje</w:t>
      </w:r>
      <w:r w:rsidRPr="001A6CB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196216DC" w14:textId="45EFA6EA" w:rsidR="00317D84" w:rsidRPr="001A6CBA" w:rsidRDefault="001A6CBA" w:rsidP="007758A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</w:t>
      </w:r>
      <w:r w:rsidR="00317D84" w:rsidRPr="001A6CBA">
        <w:rPr>
          <w:rFonts w:ascii="Arial" w:hAnsi="Arial" w:cs="Arial"/>
          <w:sz w:val="20"/>
          <w:szCs w:val="20"/>
        </w:rPr>
        <w:t xml:space="preserve">ie zachodzą w stosunku do mnie przesłanki wykluczenia z postępowania na podstawie art. 7 ust. 1 ustawy z dnia 13 kwietnia 2022r. </w:t>
      </w:r>
      <w:r w:rsidR="00317D84"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="00317D84" w:rsidRPr="001A6CBA">
        <w:rPr>
          <w:rFonts w:ascii="Arial" w:hAnsi="Arial" w:cs="Arial"/>
          <w:sz w:val="20"/>
          <w:szCs w:val="20"/>
        </w:rPr>
        <w:t xml:space="preserve"> </w:t>
      </w:r>
      <w:r w:rsidR="00317D84"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="00317D84" w:rsidRPr="001A6CBA">
        <w:rPr>
          <w:rFonts w:ascii="Arial" w:hAnsi="Arial" w:cs="Arial"/>
          <w:sz w:val="20"/>
          <w:szCs w:val="20"/>
        </w:rPr>
        <w:t>(</w:t>
      </w:r>
      <w:r w:rsidR="00BC7E21">
        <w:rPr>
          <w:rFonts w:ascii="Arial" w:hAnsi="Arial" w:cs="Arial"/>
          <w:sz w:val="20"/>
          <w:szCs w:val="20"/>
        </w:rPr>
        <w:t xml:space="preserve">tekst jednolity </w:t>
      </w:r>
      <w:r w:rsidR="00317D84" w:rsidRPr="001A6CBA">
        <w:rPr>
          <w:rFonts w:ascii="Arial" w:hAnsi="Arial" w:cs="Arial"/>
          <w:sz w:val="20"/>
          <w:szCs w:val="20"/>
        </w:rPr>
        <w:t xml:space="preserve">Dz. U. </w:t>
      </w:r>
      <w:r w:rsidR="00BC7E21">
        <w:rPr>
          <w:rFonts w:ascii="Arial" w:hAnsi="Arial" w:cs="Arial"/>
          <w:sz w:val="20"/>
          <w:szCs w:val="20"/>
        </w:rPr>
        <w:t xml:space="preserve">z 2023r., </w:t>
      </w:r>
      <w:r w:rsidR="00317D84" w:rsidRPr="001A6CBA">
        <w:rPr>
          <w:rFonts w:ascii="Arial" w:hAnsi="Arial" w:cs="Arial"/>
          <w:sz w:val="20"/>
          <w:szCs w:val="20"/>
        </w:rPr>
        <w:t xml:space="preserve">poz. </w:t>
      </w:r>
      <w:r w:rsidR="00BC7E21">
        <w:rPr>
          <w:rFonts w:ascii="Arial" w:hAnsi="Arial" w:cs="Arial"/>
          <w:sz w:val="20"/>
          <w:szCs w:val="20"/>
        </w:rPr>
        <w:t>129</w:t>
      </w:r>
      <w:r w:rsidR="00FB4417" w:rsidRPr="001A6CBA">
        <w:rPr>
          <w:rFonts w:ascii="Arial" w:hAnsi="Arial" w:cs="Arial"/>
          <w:sz w:val="20"/>
          <w:szCs w:val="20"/>
        </w:rPr>
        <w:t>).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77777777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F220E7" w:rsidRDefault="004C6FA3" w:rsidP="004C6F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460ADABB" w14:textId="77777777" w:rsidR="004C6FA3" w:rsidRPr="00F220E7" w:rsidRDefault="004C6FA3" w:rsidP="004C6FA3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5C92F2AB" w14:textId="6DEA268B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BC7E21">
        <w:rPr>
          <w:rFonts w:ascii="Arial" w:hAnsi="Arial" w:cs="Arial"/>
          <w:iCs/>
          <w:sz w:val="16"/>
          <w:szCs w:val="16"/>
        </w:rPr>
        <w:t xml:space="preserve">tekst jednolity </w:t>
      </w:r>
      <w:r w:rsidR="00BC7E21" w:rsidRPr="001A6CBA">
        <w:rPr>
          <w:rFonts w:ascii="Arial" w:hAnsi="Arial" w:cs="Arial"/>
          <w:iCs/>
          <w:sz w:val="16"/>
          <w:szCs w:val="16"/>
        </w:rPr>
        <w:t>Dz. U. z 202</w:t>
      </w:r>
      <w:r w:rsidR="00BC7E21">
        <w:rPr>
          <w:rFonts w:ascii="Arial" w:hAnsi="Arial" w:cs="Arial"/>
          <w:iCs/>
          <w:sz w:val="16"/>
          <w:szCs w:val="16"/>
        </w:rPr>
        <w:t>3</w:t>
      </w:r>
      <w:r w:rsidR="00BC7E21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BC7E21">
        <w:rPr>
          <w:rFonts w:ascii="Arial" w:hAnsi="Arial" w:cs="Arial"/>
          <w:iCs/>
          <w:sz w:val="16"/>
          <w:szCs w:val="16"/>
        </w:rPr>
        <w:t>129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747D11" w14:textId="587E0B01" w:rsidR="00AC4F48" w:rsidRPr="001A6CBA" w:rsidRDefault="00AC4F48" w:rsidP="00566A24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6BEE9AB6" w14:textId="1B0E5DA0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3BB23865" w14:textId="0CB6CEDF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BC7E21" w:rsidRPr="001A6CBA">
        <w:rPr>
          <w:rFonts w:ascii="Arial" w:hAnsi="Arial" w:cs="Arial"/>
          <w:sz w:val="16"/>
          <w:szCs w:val="16"/>
        </w:rPr>
        <w:t>Dz. U. z 2022 r. poz. 593</w:t>
      </w:r>
      <w:r w:rsidR="00BC7E21">
        <w:rPr>
          <w:rFonts w:ascii="Arial" w:hAnsi="Arial" w:cs="Arial"/>
          <w:sz w:val="16"/>
          <w:szCs w:val="16"/>
        </w:rPr>
        <w:t>,</w:t>
      </w:r>
      <w:r w:rsidR="00BC7E21" w:rsidRPr="001A6CBA">
        <w:rPr>
          <w:rFonts w:ascii="Arial" w:hAnsi="Arial" w:cs="Arial"/>
          <w:sz w:val="16"/>
          <w:szCs w:val="16"/>
        </w:rPr>
        <w:t xml:space="preserve"> 655</w:t>
      </w:r>
      <w:r w:rsidR="00BC7E21">
        <w:rPr>
          <w:rFonts w:ascii="Arial" w:hAnsi="Arial" w:cs="Arial"/>
          <w:sz w:val="16"/>
          <w:szCs w:val="16"/>
        </w:rPr>
        <w:t>, 835, 2180 i 2185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2A5355" w14:textId="69ACCC96" w:rsidR="00AC4F48" w:rsidRPr="001A6CBA" w:rsidRDefault="00AC4F48" w:rsidP="00AC4F48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BC7E21" w:rsidRPr="001A6CBA">
        <w:rPr>
          <w:rFonts w:ascii="Arial" w:hAnsi="Arial" w:cs="Arial"/>
          <w:sz w:val="16"/>
          <w:szCs w:val="16"/>
        </w:rPr>
        <w:t>Dz. U. z 2021 r. poz. 217, 2105 i 2106</w:t>
      </w:r>
      <w:r w:rsidR="00BC7E21">
        <w:rPr>
          <w:rFonts w:ascii="Arial" w:hAnsi="Arial" w:cs="Arial"/>
          <w:sz w:val="16"/>
          <w:szCs w:val="16"/>
        </w:rPr>
        <w:t xml:space="preserve"> oraz z 2022r., poz. 1488</w:t>
      </w:r>
      <w:r w:rsidRPr="001A6CBA">
        <w:rPr>
          <w:rFonts w:ascii="Arial" w:hAnsi="Arial" w:cs="Arial"/>
          <w:sz w:val="16"/>
          <w:szCs w:val="16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BC7E21">
        <w:rPr>
          <w:rFonts w:ascii="Arial" w:hAnsi="Arial" w:cs="Arial"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w sprawie wpisu na listę rozstrzygającej o zastosowaniu środka, o którym mowa w art. 1 pkt 3 ustawy.</w:t>
      </w: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</w:p>
    <w:sectPr w:rsidR="008B3EE8" w:rsidRPr="00AC4F48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04273" w14:textId="77777777" w:rsidR="00B536DD" w:rsidRDefault="00B536DD" w:rsidP="00BF09FF">
      <w:pPr>
        <w:spacing w:after="0" w:line="240" w:lineRule="auto"/>
      </w:pPr>
      <w:r>
        <w:separator/>
      </w:r>
    </w:p>
  </w:endnote>
  <w:endnote w:type="continuationSeparator" w:id="0">
    <w:p w14:paraId="2DDBDF73" w14:textId="77777777" w:rsidR="00B536DD" w:rsidRDefault="00B536DD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C8D3914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558E7981" w:rsidR="008B22CE" w:rsidRPr="001A6CBA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6F6039" w:rsidRPr="006F6039">
      <w:rPr>
        <w:rFonts w:ascii="Arial" w:eastAsia="Times New Roman" w:hAnsi="Arial" w:cs="Arial"/>
        <w:i/>
        <w:sz w:val="16"/>
        <w:szCs w:val="16"/>
        <w:lang w:eastAsia="pl-PL"/>
      </w:rPr>
      <w:t>Zakup energii elektrycznej w ilości szacunkowej 15 158,924 MWh w okresie od 01.01.2024 r. do 31.12.2024 r. dla obiektów Spółki „Wodociągi Kieleckie”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27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D64A2" w14:textId="77777777" w:rsidR="00B536DD" w:rsidRDefault="00B536DD" w:rsidP="00BF09FF">
      <w:pPr>
        <w:spacing w:after="0" w:line="240" w:lineRule="auto"/>
      </w:pPr>
      <w:r>
        <w:separator/>
      </w:r>
    </w:p>
  </w:footnote>
  <w:footnote w:type="continuationSeparator" w:id="0">
    <w:p w14:paraId="13608F94" w14:textId="77777777" w:rsidR="00B536DD" w:rsidRDefault="00B536DD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60905"/>
    <w:rsid w:val="000B6828"/>
    <w:rsid w:val="000C5AFC"/>
    <w:rsid w:val="000D2E57"/>
    <w:rsid w:val="001037EA"/>
    <w:rsid w:val="00121C57"/>
    <w:rsid w:val="001479E5"/>
    <w:rsid w:val="00180B8C"/>
    <w:rsid w:val="001A6CBA"/>
    <w:rsid w:val="001B340D"/>
    <w:rsid w:val="001F5154"/>
    <w:rsid w:val="00214F50"/>
    <w:rsid w:val="00283DED"/>
    <w:rsid w:val="00287594"/>
    <w:rsid w:val="002B2113"/>
    <w:rsid w:val="002F75C1"/>
    <w:rsid w:val="00310109"/>
    <w:rsid w:val="00317D84"/>
    <w:rsid w:val="00423D0F"/>
    <w:rsid w:val="0047798C"/>
    <w:rsid w:val="0048093E"/>
    <w:rsid w:val="004A70A3"/>
    <w:rsid w:val="004C6069"/>
    <w:rsid w:val="004C6388"/>
    <w:rsid w:val="004C6FA3"/>
    <w:rsid w:val="004F7769"/>
    <w:rsid w:val="0053393B"/>
    <w:rsid w:val="00566A24"/>
    <w:rsid w:val="00571306"/>
    <w:rsid w:val="005B5F55"/>
    <w:rsid w:val="005C7456"/>
    <w:rsid w:val="005D2125"/>
    <w:rsid w:val="00601836"/>
    <w:rsid w:val="006278A9"/>
    <w:rsid w:val="00687F9C"/>
    <w:rsid w:val="006F6039"/>
    <w:rsid w:val="007115D8"/>
    <w:rsid w:val="00723C18"/>
    <w:rsid w:val="00743AC4"/>
    <w:rsid w:val="007758AD"/>
    <w:rsid w:val="00782B4A"/>
    <w:rsid w:val="007C2F54"/>
    <w:rsid w:val="007F68B9"/>
    <w:rsid w:val="00825972"/>
    <w:rsid w:val="008B22CE"/>
    <w:rsid w:val="008B3EE8"/>
    <w:rsid w:val="00903E6C"/>
    <w:rsid w:val="00945467"/>
    <w:rsid w:val="00951703"/>
    <w:rsid w:val="00977D6C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36DD"/>
    <w:rsid w:val="00BA7D53"/>
    <w:rsid w:val="00BC7E21"/>
    <w:rsid w:val="00BD0E72"/>
    <w:rsid w:val="00BD4753"/>
    <w:rsid w:val="00BF09FF"/>
    <w:rsid w:val="00C15CB6"/>
    <w:rsid w:val="00C166BD"/>
    <w:rsid w:val="00CA6566"/>
    <w:rsid w:val="00D11406"/>
    <w:rsid w:val="00D15B39"/>
    <w:rsid w:val="00DE72CD"/>
    <w:rsid w:val="00E002CF"/>
    <w:rsid w:val="00E356AB"/>
    <w:rsid w:val="00F220E7"/>
    <w:rsid w:val="00F22795"/>
    <w:rsid w:val="00F40CBA"/>
    <w:rsid w:val="00F95FA3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25</cp:revision>
  <dcterms:created xsi:type="dcterms:W3CDTF">2022-10-03T12:14:00Z</dcterms:created>
  <dcterms:modified xsi:type="dcterms:W3CDTF">2023-08-08T06:14:00Z</dcterms:modified>
</cp:coreProperties>
</file>