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EB315" w14:textId="1B589220" w:rsidR="004D4763" w:rsidRPr="000909FD" w:rsidRDefault="004D4763" w:rsidP="0006365D">
      <w:pPr>
        <w:rPr>
          <w:rFonts w:ascii="Times New Roman" w:hAnsi="Times New Roman" w:cs="Times New Roman"/>
          <w:b/>
          <w:bCs/>
        </w:rPr>
      </w:pPr>
      <w:r w:rsidRPr="000909FD">
        <w:rPr>
          <w:rFonts w:ascii="Times New Roman" w:hAnsi="Times New Roman" w:cs="Times New Roman"/>
          <w:b/>
          <w:bCs/>
        </w:rPr>
        <w:t>RGT.ZP.271.</w:t>
      </w:r>
      <w:r w:rsidR="000909FD" w:rsidRPr="000909FD">
        <w:rPr>
          <w:rFonts w:ascii="Times New Roman" w:hAnsi="Times New Roman" w:cs="Times New Roman"/>
          <w:b/>
          <w:bCs/>
        </w:rPr>
        <w:t>4</w:t>
      </w:r>
      <w:r w:rsidRPr="000909FD">
        <w:rPr>
          <w:rFonts w:ascii="Times New Roman" w:hAnsi="Times New Roman" w:cs="Times New Roman"/>
          <w:b/>
          <w:bCs/>
        </w:rPr>
        <w:t>.2024                                                                                          Załącznik nr 7 do SWZ</w:t>
      </w:r>
    </w:p>
    <w:p w14:paraId="2FF79506" w14:textId="77777777" w:rsidR="004D4763" w:rsidRPr="000909FD" w:rsidRDefault="004D4763" w:rsidP="0006365D">
      <w:pPr>
        <w:rPr>
          <w:rFonts w:ascii="Times New Roman" w:hAnsi="Times New Roman" w:cs="Times New Roman"/>
          <w:b/>
          <w:bCs/>
        </w:rPr>
      </w:pPr>
    </w:p>
    <w:p w14:paraId="1281E193" w14:textId="71611A64" w:rsidR="004D4763" w:rsidRPr="000909FD" w:rsidRDefault="004D4763" w:rsidP="004D47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09FD">
        <w:rPr>
          <w:rFonts w:ascii="Times New Roman" w:hAnsi="Times New Roman" w:cs="Times New Roman"/>
          <w:b/>
          <w:bCs/>
          <w:sz w:val="32"/>
          <w:szCs w:val="32"/>
        </w:rPr>
        <w:t>SZCZEGÓŁOWY OPIS PRZEDMIOTU ZAMÓWIENIA</w:t>
      </w:r>
    </w:p>
    <w:p w14:paraId="6AE8C89A" w14:textId="77777777" w:rsidR="004D4763" w:rsidRPr="000909FD" w:rsidRDefault="004D4763" w:rsidP="0006365D">
      <w:pPr>
        <w:rPr>
          <w:rFonts w:ascii="Times New Roman" w:hAnsi="Times New Roman" w:cs="Times New Roman"/>
          <w:b/>
          <w:bCs/>
        </w:rPr>
      </w:pPr>
    </w:p>
    <w:p w14:paraId="48847F01" w14:textId="128A13E2" w:rsidR="000909FD" w:rsidRPr="001141B9" w:rsidRDefault="000909FD" w:rsidP="000909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14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PARAMETRY TECHNICZNE OPRAWY DROGOWEJ LED </w:t>
      </w:r>
    </w:p>
    <w:p w14:paraId="1E0929A6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Materiał korpusu oraz pokrywy: Wysokociśnieniowy odlew aluminiowy malowany</w:t>
      </w:r>
    </w:p>
    <w:p w14:paraId="608F8870" w14:textId="77777777" w:rsidR="000909FD" w:rsidRPr="0048386F" w:rsidRDefault="000909FD" w:rsidP="0014472F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proszkowo na wybrany kolor z ogólnodostępnej palety</w:t>
      </w:r>
    </w:p>
    <w:p w14:paraId="7D72274C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Wnętrze komory optycznej, komory elektrycznej oraz elementy oprawy (np. pokrywa, uchwyt</w:t>
      </w:r>
    </w:p>
    <w:p w14:paraId="1F5A7D0E" w14:textId="77777777" w:rsidR="000909FD" w:rsidRPr="0048386F" w:rsidRDefault="000909FD" w:rsidP="0014472F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montażowy) zabezpieczone przed korozją powłoką lakierniczą. Nie dopuszcza się surowego materiału</w:t>
      </w:r>
    </w:p>
    <w:p w14:paraId="6D7C5208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Materiał klosza: Płaskie hartowane szkło</w:t>
      </w:r>
    </w:p>
    <w:p w14:paraId="5563F5D7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Stopień odporności klosza na uderzenia mechaniczne: IK09, zgodnie z normami IEC 62262,</w:t>
      </w:r>
    </w:p>
    <w:p w14:paraId="76DB1989" w14:textId="77777777" w:rsidR="000909FD" w:rsidRPr="0048386F" w:rsidRDefault="000909FD" w:rsidP="0014472F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IEC 60068-2-75. Wymagane jest potwierdzenie szczelności w certyfikacie ENEC oraz raport z badań pochodzący z akredytowanego laboratorium</w:t>
      </w:r>
    </w:p>
    <w:p w14:paraId="4E6F9434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Szczelność oprawy: IP66, zgodnie z normami IEC/EN 60598-1 i IEC 60529. Wymagane jest</w:t>
      </w:r>
    </w:p>
    <w:p w14:paraId="29957D69" w14:textId="77777777" w:rsidR="000909FD" w:rsidRPr="0048386F" w:rsidRDefault="000909FD" w:rsidP="0014472F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potwierdzenie szczelności w certyfikacie ENEC oraz raport z badań szczelności pochodzący z akredytowanego laboratorium</w:t>
      </w:r>
    </w:p>
    <w:p w14:paraId="66F8FBE9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wyposażona w uniwersalny uchwyt stanowiący integralną część oprawy oraz</w:t>
      </w:r>
    </w:p>
    <w:p w14:paraId="78E50085" w14:textId="77777777" w:rsidR="000909FD" w:rsidRPr="0048386F" w:rsidRDefault="000909FD" w:rsidP="0014472F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pozwalający na montaż zarówno na wysięgniku jak i bezpośrednio na słupie. Kąt nachylenia oprawy jest możliwy w zakresie: od 0° do 30° (montaż bezpośredni) oraz od -45° do 15° (montaż na wysięgniku). Zmiana sposobu montażu odbywa się bez konieczności zdejmowania oprawy, tj. odseparowania uchwytu od korpusu</w:t>
      </w:r>
    </w:p>
    <w:p w14:paraId="0451D738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Uchwyt montażowy wykonany z tego samego materiału co korpus oprawy oraz malowany</w:t>
      </w:r>
    </w:p>
    <w:p w14:paraId="52BA3E35" w14:textId="77777777" w:rsidR="000909FD" w:rsidRPr="0048386F" w:rsidRDefault="000909FD" w:rsidP="0014472F">
      <w:pPr>
        <w:ind w:left="284" w:firstLine="425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proszkowo na ten sam kolor,</w:t>
      </w:r>
    </w:p>
    <w:p w14:paraId="4DF1604E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(wraz z uchwytem) musi spełniać wymogi dotyczące wibracji ANSI C136-31 3G lub</w:t>
      </w:r>
    </w:p>
    <w:p w14:paraId="40085D23" w14:textId="77777777" w:rsidR="000909FD" w:rsidRPr="0048386F" w:rsidRDefault="000909FD" w:rsidP="0014472F">
      <w:pPr>
        <w:ind w:firstLine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IEC 60068-2-6. Wymagany jest raport z badań pochodzący z akredytowanego laboratorium</w:t>
      </w:r>
    </w:p>
    <w:p w14:paraId="1BE9E886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Elementy mocujące oprawę na słupie, wysięgniku (śruby, podkładki) oraz klamry zamykające</w:t>
      </w:r>
    </w:p>
    <w:p w14:paraId="778A2A3A" w14:textId="77777777" w:rsidR="000909FD" w:rsidRPr="0048386F" w:rsidRDefault="000909FD" w:rsidP="0014472F">
      <w:pPr>
        <w:ind w:left="426" w:firstLine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muszą być wykonane ze stali nierdzewnej </w:t>
      </w:r>
    </w:p>
    <w:p w14:paraId="0A82F334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Dostęp do komory osprzętu elektrycznego bez użycia narzędzi za pomocą dwóch</w:t>
      </w:r>
    </w:p>
    <w:p w14:paraId="5CB8B661" w14:textId="77777777" w:rsidR="000909FD" w:rsidRPr="0048386F" w:rsidRDefault="000909FD" w:rsidP="0014472F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niezależnych zatrzasków. Oprawa posiada dedykowane zawiasy chroniące pokrywę osprzętu przed upadkiem. Nie dopuszcza się śrub typu „motylek” i podobnych</w:t>
      </w:r>
    </w:p>
    <w:p w14:paraId="353992B0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Budowa oprawy pozwala na wymianę układu optycznego oraz modułu zasilającego,</w:t>
      </w:r>
    </w:p>
    <w:p w14:paraId="7CBD2F8B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Wymiana elementów układu optycznego bez konieczności wykonywania połączeń</w:t>
      </w:r>
    </w:p>
    <w:p w14:paraId="00D5DDE3" w14:textId="77777777" w:rsidR="000909FD" w:rsidRPr="0048386F" w:rsidRDefault="000909FD" w:rsidP="0014472F">
      <w:pPr>
        <w:ind w:left="567" w:firstLine="142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lutowanych,</w:t>
      </w:r>
    </w:p>
    <w:p w14:paraId="27AE00A5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lastRenderedPageBreak/>
        <w:t>Oprawa wyposażona w system regulacji ciśnienia wewnątrz oprawy, zapobiegający zjawisku</w:t>
      </w:r>
    </w:p>
    <w:p w14:paraId="595B6FBD" w14:textId="77777777" w:rsidR="000909FD" w:rsidRPr="0048386F" w:rsidRDefault="000909FD" w:rsidP="00850B02">
      <w:pPr>
        <w:ind w:firstLine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kondensacji pary wodnej w komorze</w:t>
      </w:r>
    </w:p>
    <w:p w14:paraId="23DA9B0A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wyposażona w system optymalnego odprowadzenia ciepła (termiczne rozdzielenie</w:t>
      </w:r>
    </w:p>
    <w:p w14:paraId="147A83AF" w14:textId="77777777" w:rsidR="000909FD" w:rsidRPr="0048386F" w:rsidRDefault="000909FD" w:rsidP="00850B02">
      <w:pPr>
        <w:ind w:firstLine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pomiędzy układem zasilającym, a układem optycznym),</w:t>
      </w:r>
    </w:p>
    <w:p w14:paraId="3B1A9B21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wykonana w technologii LED, bryła fotometryczna kształtowana za pomocą płaskiej</w:t>
      </w:r>
    </w:p>
    <w:p w14:paraId="06BE1091" w14:textId="77777777" w:rsidR="000909FD" w:rsidRPr="0048386F" w:rsidRDefault="000909FD" w:rsidP="00850B02">
      <w:pPr>
        <w:ind w:firstLine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wielosoczewkowej matrycy LED </w:t>
      </w:r>
    </w:p>
    <w:p w14:paraId="448E3A68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Temperatura barwowa źródeł światła: 4000K ±10%</w:t>
      </w:r>
    </w:p>
    <w:p w14:paraId="1F63764F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Skuteczność świetlna oprawy (uwzględniająca wszystkie straty) minimum 140 lm/W potwierdzona certyfikatem ENEC+</w:t>
      </w:r>
    </w:p>
    <w:p w14:paraId="45BE75F6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Każda z soczewek matrycy emituje taką samą krzywą światłości, a całkowity strumień oprawy</w:t>
      </w:r>
    </w:p>
    <w:p w14:paraId="36C04039" w14:textId="77777777" w:rsidR="000909FD" w:rsidRPr="0048386F" w:rsidRDefault="000909FD" w:rsidP="00850B02">
      <w:pPr>
        <w:ind w:firstLine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jest sumą strumieni poszczególnych soczewek</w:t>
      </w:r>
    </w:p>
    <w:p w14:paraId="086CAD17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Oprawy muszą spełniać wymagania normy EN 62471 „Bezpieczeństwo fotobiologiczne lamp</w:t>
      </w:r>
    </w:p>
    <w:p w14:paraId="4C3911CA" w14:textId="77777777" w:rsidR="000909FD" w:rsidRPr="0048386F" w:rsidRDefault="000909FD" w:rsidP="00850B02">
      <w:pPr>
        <w:ind w:firstLine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i systemów lampowych” </w:t>
      </w:r>
    </w:p>
    <w:p w14:paraId="446C4255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Trwałość strumienia światła oprawy mierzona parametrem L90B10 dla temperatury </w:t>
      </w:r>
    </w:p>
    <w:p w14:paraId="08398974" w14:textId="77777777" w:rsidR="000909FD" w:rsidRPr="0048386F" w:rsidRDefault="000909FD" w:rsidP="00850B02">
      <w:pPr>
        <w:ind w:firstLine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TC = 105°C min. 100 000h (zgodnie z IES LM-80 TM-21)</w:t>
      </w:r>
    </w:p>
    <w:p w14:paraId="225AE110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Wartości wskaźnika udziału światła wysyłanego ku górze (ULOR) nie większa niż określona</w:t>
      </w:r>
    </w:p>
    <w:p w14:paraId="1378E5F4" w14:textId="77777777" w:rsidR="000909FD" w:rsidRPr="0048386F" w:rsidRDefault="000909FD" w:rsidP="00850B02">
      <w:pPr>
        <w:ind w:firstLine="851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w Rozporządzeniu WE nr 245/2009</w:t>
      </w:r>
    </w:p>
    <w:p w14:paraId="201A6B87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wyposażona w niskonapięciowe dwa gniazda Zhaga zgodne ze standaryzacją D4i</w:t>
      </w:r>
    </w:p>
    <w:p w14:paraId="309BE220" w14:textId="77777777" w:rsidR="000909FD" w:rsidRPr="0048386F" w:rsidRDefault="000909FD" w:rsidP="00850B02">
      <w:pPr>
        <w:ind w:firstLine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(góra i dół)</w:t>
      </w:r>
    </w:p>
    <w:p w14:paraId="673EB56C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Zdalne sterowanie bez dodatkowej modyfikacji oprawy:</w:t>
      </w:r>
    </w:p>
    <w:p w14:paraId="6BC2DB3B" w14:textId="77777777" w:rsidR="000909FD" w:rsidRPr="0048386F" w:rsidRDefault="000909FD" w:rsidP="00850B02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Zdalny nadzór przez sieć internetową z poziomu przeglądarki internetowej – bez</w:t>
      </w:r>
    </w:p>
    <w:p w14:paraId="2D614EF6" w14:textId="77777777" w:rsidR="000909FD" w:rsidRPr="0048386F" w:rsidRDefault="000909FD" w:rsidP="00850B02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konieczności instalowania dodatkowego oprogramowania. Dostęp do interfejsu użytkownika jest możliwy z dowolnego urządzenia wyposażonego w dostęp do Internetu i przeglądarkę internetową. Dostęp jest zabezpieczony hasłem.</w:t>
      </w:r>
    </w:p>
    <w:p w14:paraId="091EF5D5" w14:textId="77777777" w:rsidR="000909FD" w:rsidRPr="0048386F" w:rsidRDefault="000909FD" w:rsidP="00850B02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Załączanie i wyłączanie pojedynczej oprawy lub grupy opraw</w:t>
      </w:r>
    </w:p>
    <w:p w14:paraId="03C9A448" w14:textId="77777777" w:rsidR="000909FD" w:rsidRPr="0048386F" w:rsidRDefault="000909FD" w:rsidP="00850B02">
      <w:pPr>
        <w:numPr>
          <w:ilvl w:val="0"/>
          <w:numId w:val="4"/>
        </w:numPr>
        <w:ind w:left="567" w:hanging="141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  Graficzny interfejs w postaci strony internetowej wraz z mapą, na której za pomocą ikon</w:t>
      </w:r>
    </w:p>
    <w:p w14:paraId="69AFFE99" w14:textId="77777777" w:rsidR="000909FD" w:rsidRPr="0048386F" w:rsidRDefault="000909FD" w:rsidP="00850B02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reprezentowane są wszystkie punkty należące do systemu</w:t>
      </w:r>
    </w:p>
    <w:p w14:paraId="3617EED7" w14:textId="0767643F" w:rsidR="000909FD" w:rsidRPr="00850B02" w:rsidRDefault="000909FD" w:rsidP="000909FD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Możliwość ręcznego ustawienia poziomu świecenia lub zdalnego wyłączenia oprawy (lub grupy</w:t>
      </w:r>
      <w:r w:rsidR="00850B02">
        <w:rPr>
          <w:rFonts w:ascii="Times New Roman" w:hAnsi="Times New Roman" w:cs="Times New Roman"/>
          <w:bCs/>
        </w:rPr>
        <w:t xml:space="preserve"> </w:t>
      </w:r>
      <w:r w:rsidRPr="00850B02">
        <w:rPr>
          <w:rFonts w:ascii="Times New Roman" w:hAnsi="Times New Roman" w:cs="Times New Roman"/>
          <w:bCs/>
        </w:rPr>
        <w:t>opraw) na określony czas;</w:t>
      </w:r>
    </w:p>
    <w:p w14:paraId="4F329043" w14:textId="77777777" w:rsidR="000909FD" w:rsidRPr="0048386F" w:rsidRDefault="000909FD" w:rsidP="00850B02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Możliwość przypisania każdemu pojedynczemu punktowi świetlnemu lub grupie opraw</w:t>
      </w:r>
    </w:p>
    <w:p w14:paraId="61D5323B" w14:textId="77777777" w:rsidR="000909FD" w:rsidRPr="0048386F" w:rsidRDefault="000909FD" w:rsidP="00850B02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wskazanej na mapie przez Użytkownika, indywidualnej charakterystyki redukcji mocy i ich zmiany w dowolnym momencie</w:t>
      </w:r>
    </w:p>
    <w:p w14:paraId="4AF4DDBF" w14:textId="77777777" w:rsidR="000909FD" w:rsidRPr="0048386F" w:rsidRDefault="000909FD" w:rsidP="00850B02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Pomiar/odczyt prądu, napięcia, mocy, współczynnika mocy, czasu pracy źródła światła dla</w:t>
      </w:r>
    </w:p>
    <w:p w14:paraId="2EEBB9D6" w14:textId="77777777" w:rsidR="000909FD" w:rsidRPr="0048386F" w:rsidRDefault="000909FD" w:rsidP="00850B02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lastRenderedPageBreak/>
        <w:t>pojedynczego punktu świetlnego</w:t>
      </w:r>
    </w:p>
    <w:p w14:paraId="24450B3B" w14:textId="77777777" w:rsidR="000909FD" w:rsidRPr="0048386F" w:rsidRDefault="000909FD" w:rsidP="00850B02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Sygnalizowanie uszkodzeń pojedynczych opraw </w:t>
      </w:r>
    </w:p>
    <w:p w14:paraId="07CC8AAA" w14:textId="77777777" w:rsidR="000909FD" w:rsidRPr="0048386F" w:rsidRDefault="000909FD" w:rsidP="00850B02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Generowanie raportów zużycia energii dla pojedynczej oprawy lub grupy opraw dla</w:t>
      </w:r>
    </w:p>
    <w:p w14:paraId="4CF04006" w14:textId="77777777" w:rsidR="000909FD" w:rsidRPr="0048386F" w:rsidRDefault="000909FD" w:rsidP="00850B02">
      <w:pPr>
        <w:ind w:left="567" w:firstLine="142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zdefiniowanego przez użytkownika obszaru na mapie oraz raportów błędów</w:t>
      </w:r>
    </w:p>
    <w:p w14:paraId="37D4FCB9" w14:textId="77777777" w:rsidR="000909FD" w:rsidRPr="0048386F" w:rsidRDefault="000909FD" w:rsidP="00A910DC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Dodawanie nowych punktów świetlnych bez konieczności przebudowy istniejącej instalacji (np. prowadzenia dodatkowych przewodów, łączenia obwodów itp.)</w:t>
      </w:r>
    </w:p>
    <w:p w14:paraId="00F0172F" w14:textId="77777777" w:rsidR="000909FD" w:rsidRPr="0048386F" w:rsidRDefault="000909FD" w:rsidP="00A910DC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Tworzenie kont użytkowników z różnymi poziomami dostępu </w:t>
      </w:r>
    </w:p>
    <w:p w14:paraId="15B60E9D" w14:textId="77777777" w:rsidR="000909FD" w:rsidRPr="0048386F" w:rsidRDefault="000909FD" w:rsidP="00A910DC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Elementy systemu sterowania muszą być zgodne z certyfikacją TALQ, lista certyfikowanych</w:t>
      </w:r>
    </w:p>
    <w:p w14:paraId="045B5AC8" w14:textId="77777777" w:rsidR="000909FD" w:rsidRPr="0048386F" w:rsidRDefault="000909FD" w:rsidP="00A910DC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funkcji dostępna na oficjalnej stronie Konsorcjum TALQ: </w:t>
      </w:r>
      <w:hyperlink r:id="rId5" w:history="1">
        <w:r w:rsidRPr="0048386F">
          <w:rPr>
            <w:rStyle w:val="Hipercze"/>
            <w:rFonts w:ascii="Times New Roman" w:hAnsi="Times New Roman" w:cs="Times New Roman"/>
            <w:bCs/>
          </w:rPr>
          <w:t>https://www.talq-consortium.org</w:t>
        </w:r>
      </w:hyperlink>
      <w:r w:rsidRPr="0048386F">
        <w:rPr>
          <w:rFonts w:ascii="Times New Roman" w:hAnsi="Times New Roman" w:cs="Times New Roman"/>
          <w:bCs/>
          <w:u w:val="single"/>
        </w:rPr>
        <w:t xml:space="preserve"> </w:t>
      </w:r>
    </w:p>
    <w:p w14:paraId="3FB65D0C" w14:textId="77777777" w:rsidR="000909FD" w:rsidRPr="0048386F" w:rsidRDefault="000909FD" w:rsidP="00A910DC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Komunikacja zgodnie z modelem danych uCIFI lub równoważnym pod warunkiem wskazania</w:t>
      </w:r>
    </w:p>
    <w:p w14:paraId="521C61E6" w14:textId="77777777" w:rsidR="000909FD" w:rsidRPr="0048386F" w:rsidRDefault="000909FD" w:rsidP="00F36798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programu i procedury certyfikacji</w:t>
      </w:r>
    </w:p>
    <w:p w14:paraId="25E4901E" w14:textId="77777777" w:rsidR="000909FD" w:rsidRPr="0048386F" w:rsidRDefault="000909FD" w:rsidP="00A910DC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Automatyczna konfiguracja sterownika i przesłanie danych o oprawie na serwer wraz z</w:t>
      </w:r>
    </w:p>
    <w:p w14:paraId="4C79A763" w14:textId="77777777" w:rsidR="000909FD" w:rsidRPr="0048386F" w:rsidRDefault="000909FD" w:rsidP="00F36798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automatycznym określeniem położenia oprawy na mapie</w:t>
      </w:r>
    </w:p>
    <w:p w14:paraId="72176EA8" w14:textId="77777777" w:rsidR="000909FD" w:rsidRPr="0048386F" w:rsidRDefault="000909FD" w:rsidP="00A910DC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Bezpośrednia komunikacja sterowników z serwerem, bez urządzeń pośredniczących jak np.</w:t>
      </w:r>
    </w:p>
    <w:p w14:paraId="07FD203D" w14:textId="77777777" w:rsidR="000909FD" w:rsidRPr="0048386F" w:rsidRDefault="000909FD" w:rsidP="00A910DC">
      <w:pPr>
        <w:ind w:left="426" w:firstLine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sterowniki centralne, bramki, itp.</w:t>
      </w:r>
    </w:p>
    <w:p w14:paraId="395ED73A" w14:textId="6705E1D1" w:rsidR="000909FD" w:rsidRPr="00A910DC" w:rsidRDefault="000909FD" w:rsidP="000909FD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Bezpośrednia i bezprzewodowa komunikacja pomiędzy sterownikami niezależnie od sposobu ich</w:t>
      </w:r>
      <w:r w:rsidR="00A910DC">
        <w:rPr>
          <w:rFonts w:ascii="Times New Roman" w:hAnsi="Times New Roman" w:cs="Times New Roman"/>
          <w:bCs/>
        </w:rPr>
        <w:t xml:space="preserve"> </w:t>
      </w:r>
      <w:r w:rsidRPr="00A910DC">
        <w:rPr>
          <w:rFonts w:ascii="Times New Roman" w:hAnsi="Times New Roman" w:cs="Times New Roman"/>
          <w:bCs/>
        </w:rPr>
        <w:t xml:space="preserve">zasilania </w:t>
      </w:r>
    </w:p>
    <w:p w14:paraId="0673AD8E" w14:textId="77777777" w:rsidR="000909FD" w:rsidRPr="0048386F" w:rsidRDefault="000909FD" w:rsidP="00A910DC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Możliwość zdalnej konfiguracji czujników i aktywowania wybranych opraw z poziomu systemu</w:t>
      </w:r>
    </w:p>
    <w:p w14:paraId="1ED5E021" w14:textId="6DBADE18" w:rsidR="000909FD" w:rsidRPr="0048386F" w:rsidRDefault="00A910DC" w:rsidP="00A910DC">
      <w:pPr>
        <w:numPr>
          <w:ilvl w:val="0"/>
          <w:numId w:val="4"/>
        </w:numPr>
        <w:ind w:left="567" w:hanging="14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 </w:t>
      </w:r>
      <w:r w:rsidR="000909FD" w:rsidRPr="0048386F">
        <w:rPr>
          <w:rFonts w:ascii="Times New Roman" w:hAnsi="Times New Roman" w:cs="Times New Roman"/>
          <w:bCs/>
        </w:rPr>
        <w:t>Sterowniki muszą działać autonomicznie zgodnie z ostatnim zapamiętanym programem, mimo</w:t>
      </w:r>
    </w:p>
    <w:p w14:paraId="0E0406AB" w14:textId="77777777" w:rsidR="000909FD" w:rsidRPr="0048386F" w:rsidRDefault="000909FD" w:rsidP="00F36798">
      <w:pPr>
        <w:ind w:left="426" w:firstLine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ewentualnej utraty łączności z systemem</w:t>
      </w:r>
    </w:p>
    <w:p w14:paraId="4B8075D5" w14:textId="77777777" w:rsidR="000909FD" w:rsidRPr="0048386F" w:rsidRDefault="000909FD" w:rsidP="00A910DC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Montaż sterowników za pomocą ustandaryzowanego gniazda Zhaga Book18 zgodnie ze</w:t>
      </w:r>
    </w:p>
    <w:p w14:paraId="1A355090" w14:textId="77777777" w:rsidR="000909FD" w:rsidRPr="0048386F" w:rsidRDefault="000909FD" w:rsidP="00F36798">
      <w:pPr>
        <w:ind w:left="284" w:firstLine="425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standardem ZD4i, bez konieczności ingerencji w oprawę </w:t>
      </w:r>
    </w:p>
    <w:p w14:paraId="0A60522C" w14:textId="77777777" w:rsidR="000909FD" w:rsidRPr="0048386F" w:rsidRDefault="000909FD" w:rsidP="00A910DC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Systemy zarządzania bezpieczeństwem informacji zgodny z normą ISO/IEC 27001 lub</w:t>
      </w:r>
    </w:p>
    <w:p w14:paraId="2C3D1BC1" w14:textId="77777777" w:rsidR="000909FD" w:rsidRPr="0048386F" w:rsidRDefault="000909FD" w:rsidP="00A910DC">
      <w:pPr>
        <w:ind w:left="426" w:firstLine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równoważnym pod warunkiem wskazania programu i procedury certyfikacji</w:t>
      </w:r>
    </w:p>
    <w:p w14:paraId="3F5E96AD" w14:textId="77777777" w:rsidR="000909FD" w:rsidRPr="0048386F" w:rsidRDefault="000909FD" w:rsidP="00A910DC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Zamawiający nie będzie ponosił żadnych kosztów związanych z konfiguracją, wdrożeniem i</w:t>
      </w:r>
    </w:p>
    <w:p w14:paraId="2AC74357" w14:textId="77777777" w:rsidR="000909FD" w:rsidRPr="0048386F" w:rsidRDefault="000909FD" w:rsidP="00A910DC">
      <w:pPr>
        <w:ind w:left="567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eksploatacją systemu (w tym także kosztów związanych z użytkowaniem interfejsu, licencji, opłat serwerowych itp.) w okresie min 10 lat.</w:t>
      </w:r>
    </w:p>
    <w:p w14:paraId="396F27F0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Beznarzędziowe podłączenie oprawy do sieci zasilającej</w:t>
      </w:r>
    </w:p>
    <w:p w14:paraId="785BF907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wykonana w I lub II klasie ochronności elektrycznej, znamionowe napięcie zasilania</w:t>
      </w:r>
    </w:p>
    <w:p w14:paraId="7B6D6F62" w14:textId="77777777" w:rsidR="000909FD" w:rsidRPr="0048386F" w:rsidRDefault="000909FD" w:rsidP="00A910DC">
      <w:pPr>
        <w:ind w:left="567" w:firstLine="284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220-240 V / 50-60 Hz</w:t>
      </w:r>
    </w:p>
    <w:p w14:paraId="30570DE5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wyposażona przed zasilaczem w zabezpieczenie przed przepięciami min. 10kV,</w:t>
      </w:r>
    </w:p>
    <w:p w14:paraId="16BCD772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Zakres temperatury otoczenia podczas pracy oprawy: od -40°C do +50°C</w:t>
      </w:r>
    </w:p>
    <w:p w14:paraId="65A1EE4E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lastRenderedPageBreak/>
        <w:t>Oprawa musi być oznakowana znakiem CE oraz posiadać deklarację zgodności,</w:t>
      </w:r>
    </w:p>
    <w:p w14:paraId="10400187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musi być produkowana na terenie UE (adres fabryki wskazany w certyfikacie ENEC),</w:t>
      </w:r>
    </w:p>
    <w:p w14:paraId="02874DB2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musi posiadać deklarację środowiskową (ang. PEP - Product Environmental Profile)</w:t>
      </w:r>
    </w:p>
    <w:p w14:paraId="1BBC5B3E" w14:textId="77777777" w:rsidR="000909FD" w:rsidRPr="0048386F" w:rsidRDefault="000909FD" w:rsidP="00A910DC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zgodnie z ISO 14040:2006 oraz EN 15804:2012 + A2:2019 lub równoważną, potwierdzoną przez uprawnioną jednostkę badawczą</w:t>
      </w:r>
    </w:p>
    <w:p w14:paraId="24050822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musi posiadać aktualny certyfikat akredytowanego ośrodka badawczego</w:t>
      </w:r>
    </w:p>
    <w:p w14:paraId="7015CA14" w14:textId="77777777" w:rsidR="000909FD" w:rsidRPr="0048386F" w:rsidRDefault="000909FD" w:rsidP="00A910DC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14:paraId="0EF65748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musi posiadać aktualny certyfikat akredytowanego ośrodka badawczego</w:t>
      </w:r>
    </w:p>
    <w:p w14:paraId="1B7F1BEE" w14:textId="77777777" w:rsidR="000909FD" w:rsidRPr="0048386F" w:rsidRDefault="000909FD" w:rsidP="00A910DC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potwierdzający wiarygodność podawanych  przez producenta parametrów funkcjonalnych deklarowanych w momencie wprowadzenia wyrobu do obrotu, takich jak: napięcie zasilania, klasa ochronności elektrycznej, pobierana moc, skuteczność świetlna, temperatura barwowa,  strumień świetlny - certyfikat ENEC+ lub równoważny</w:t>
      </w:r>
    </w:p>
    <w:p w14:paraId="765F4AD4" w14:textId="2A2D498E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</w:t>
      </w:r>
      <w:r w:rsidR="00323610">
        <w:rPr>
          <w:rFonts w:ascii="Times New Roman" w:hAnsi="Times New Roman" w:cs="Times New Roman"/>
          <w:bCs/>
        </w:rPr>
        <w:t xml:space="preserve"> musi</w:t>
      </w:r>
      <w:r w:rsidRPr="0048386F">
        <w:rPr>
          <w:rFonts w:ascii="Times New Roman" w:hAnsi="Times New Roman" w:cs="Times New Roman"/>
          <w:bCs/>
        </w:rPr>
        <w:t xml:space="preserve"> posiada</w:t>
      </w:r>
      <w:r w:rsidR="00323610">
        <w:rPr>
          <w:rFonts w:ascii="Times New Roman" w:hAnsi="Times New Roman" w:cs="Times New Roman"/>
          <w:bCs/>
        </w:rPr>
        <w:t>ć</w:t>
      </w:r>
      <w:r w:rsidRPr="0048386F">
        <w:rPr>
          <w:rFonts w:ascii="Times New Roman" w:hAnsi="Times New Roman" w:cs="Times New Roman"/>
          <w:bCs/>
        </w:rPr>
        <w:t xml:space="preserve"> certyfikat Zhaga D4i, publikowany na oficjalnej stronie ZHAGA Consortium</w:t>
      </w:r>
    </w:p>
    <w:p w14:paraId="40C6B142" w14:textId="38C5D040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Oprawa wyposażona w etykietę z kodem QR wraz z dodatkową naklejką do umieszczenia np.</w:t>
      </w:r>
    </w:p>
    <w:p w14:paraId="218B0FC3" w14:textId="77777777" w:rsidR="000909FD" w:rsidRPr="0048386F" w:rsidRDefault="000909FD" w:rsidP="00F36798">
      <w:pPr>
        <w:ind w:left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we wnęce słupowej i/lub na projekcie. Kod QR poprzez użycie dedykowanej aplikacji producenta umożliwia uzyskanie pełnej charakterystyki oprawy i dostęp do informacji takich jak:</w:t>
      </w:r>
    </w:p>
    <w:p w14:paraId="6EE87D0F" w14:textId="77777777" w:rsidR="000909FD" w:rsidRPr="0048386F" w:rsidRDefault="000909FD" w:rsidP="000909FD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parametry fotometryczne, elektryczne oraz mechaniczne</w:t>
      </w:r>
    </w:p>
    <w:p w14:paraId="6812A4C1" w14:textId="77777777" w:rsidR="000909FD" w:rsidRPr="0048386F" w:rsidRDefault="000909FD" w:rsidP="000909FD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dokumentacja oprawy, instrukcja montażu</w:t>
      </w:r>
    </w:p>
    <w:p w14:paraId="2E476724" w14:textId="77777777" w:rsidR="000909FD" w:rsidRPr="0048386F" w:rsidRDefault="000909FD" w:rsidP="000909FD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instrukcja serwisowania w przypadku nieprawidłowego działania oprawy oświetleniowej</w:t>
      </w:r>
    </w:p>
    <w:p w14:paraId="044CA08E" w14:textId="77777777" w:rsidR="000909FD" w:rsidRPr="0048386F" w:rsidRDefault="000909FD" w:rsidP="000909FD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lista części zamiennych wraz z kodami producenta  </w:t>
      </w:r>
    </w:p>
    <w:p w14:paraId="0AB81E36" w14:textId="77777777" w:rsidR="000909FD" w:rsidRPr="0048386F" w:rsidRDefault="000909FD" w:rsidP="000909FD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Ze względu na gwarancję i konserwację wymaga się aby wszystkie oprawy pochodziły od</w:t>
      </w:r>
    </w:p>
    <w:p w14:paraId="546BC10D" w14:textId="77777777" w:rsidR="000909FD" w:rsidRPr="0048386F" w:rsidRDefault="000909FD" w:rsidP="00A910DC">
      <w:pPr>
        <w:ind w:firstLine="709"/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jednego producenta. </w:t>
      </w:r>
    </w:p>
    <w:p w14:paraId="44D9FBD8" w14:textId="77777777" w:rsidR="000909FD" w:rsidRPr="0048386F" w:rsidRDefault="000909FD" w:rsidP="000909FD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Gwarancja producenta min. 60 miesięcy. </w:t>
      </w:r>
    </w:p>
    <w:p w14:paraId="799F6B6D" w14:textId="77777777" w:rsidR="000909FD" w:rsidRPr="0048386F" w:rsidRDefault="000909FD" w:rsidP="000909FD">
      <w:p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Gwarancja na oprawy jest wymagana niezależnie od długości gwarancji na udzielonej przez Wykonawcę na wykonanie przedmiotu zamówienia</w:t>
      </w:r>
    </w:p>
    <w:p w14:paraId="75C38BF6" w14:textId="77777777" w:rsidR="00755B4A" w:rsidRDefault="00755B4A" w:rsidP="000909FD">
      <w:pPr>
        <w:rPr>
          <w:rFonts w:ascii="Times New Roman" w:hAnsi="Times New Roman" w:cs="Times New Roman"/>
          <w:b/>
          <w:bCs/>
        </w:rPr>
      </w:pPr>
      <w:bookmarkStart w:id="0" w:name="_Hlk158020817"/>
    </w:p>
    <w:p w14:paraId="6DF608FC" w14:textId="3D9957D8" w:rsidR="00755B4A" w:rsidRDefault="000909FD" w:rsidP="000909FD">
      <w:pPr>
        <w:rPr>
          <w:rFonts w:ascii="Times New Roman" w:hAnsi="Times New Roman" w:cs="Times New Roman"/>
          <w:b/>
          <w:bCs/>
        </w:rPr>
      </w:pPr>
      <w:r w:rsidRPr="0048386F">
        <w:rPr>
          <w:rFonts w:ascii="Times New Roman" w:hAnsi="Times New Roman" w:cs="Times New Roman"/>
          <w:b/>
          <w:bCs/>
        </w:rPr>
        <w:t xml:space="preserve">Podane wartości są wartościami minimalnymi jakie musi spełnić Wykonawca. </w:t>
      </w:r>
    </w:p>
    <w:p w14:paraId="21CD3005" w14:textId="3ECBBE7A" w:rsidR="00755B4A" w:rsidRDefault="000909FD" w:rsidP="000909FD">
      <w:p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/>
          <w:bCs/>
        </w:rPr>
        <w:t>Zamawiający przed wyborem oferty wezwie Wykonawcę, którego oferta została najwyżej oceniona do dostarczenia wybranych dokumentów i raportów potwierdzających że deklarowane parametry opraw i systemu spełniają wymagania Zamawiającego.</w:t>
      </w:r>
      <w:bookmarkEnd w:id="0"/>
    </w:p>
    <w:p w14:paraId="4E85133E" w14:textId="27A28B78" w:rsidR="000909FD" w:rsidRDefault="000909FD" w:rsidP="000909FD">
      <w:p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 Zestawienie miejsc montażu, ilości i mocy opraw do zamontowania na terenie Gminy </w:t>
      </w:r>
      <w:r w:rsidR="00792FE9" w:rsidRPr="0048386F">
        <w:rPr>
          <w:rFonts w:ascii="Times New Roman" w:hAnsi="Times New Roman" w:cs="Times New Roman"/>
          <w:bCs/>
        </w:rPr>
        <w:t>Kozłowo</w:t>
      </w:r>
    </w:p>
    <w:p w14:paraId="4785C42A" w14:textId="77777777" w:rsidR="00755B4A" w:rsidRPr="0048386F" w:rsidRDefault="00755B4A" w:rsidP="000909FD">
      <w:pPr>
        <w:rPr>
          <w:rFonts w:ascii="Times New Roman" w:hAnsi="Times New Roman" w:cs="Times New Roman"/>
          <w:bCs/>
        </w:rPr>
      </w:pPr>
    </w:p>
    <w:tbl>
      <w:tblPr>
        <w:tblW w:w="90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701"/>
      </w:tblGrid>
      <w:tr w:rsidR="000909FD" w:rsidRPr="0048386F" w14:paraId="42CA48EF" w14:textId="77777777" w:rsidTr="00541EF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BDFD" w14:textId="77777777" w:rsidR="00541EFF" w:rsidRDefault="00541EFF" w:rsidP="000909FD">
            <w:pPr>
              <w:rPr>
                <w:rFonts w:ascii="Times New Roman" w:hAnsi="Times New Roman" w:cs="Times New Roman"/>
                <w:bCs/>
              </w:rPr>
            </w:pPr>
          </w:p>
          <w:p w14:paraId="623FFE40" w14:textId="5189BD08" w:rsidR="000909FD" w:rsidRPr="0048386F" w:rsidRDefault="000909FD" w:rsidP="000909FD">
            <w:pPr>
              <w:rPr>
                <w:rFonts w:ascii="Times New Roman" w:hAnsi="Times New Roman" w:cs="Times New Roman"/>
                <w:bCs/>
              </w:rPr>
            </w:pPr>
            <w:r w:rsidRPr="0048386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E666" w14:textId="77777777" w:rsidR="00541EFF" w:rsidRDefault="00541EFF" w:rsidP="000909FD">
            <w:pPr>
              <w:rPr>
                <w:rFonts w:ascii="Times New Roman" w:hAnsi="Times New Roman" w:cs="Times New Roman"/>
                <w:b/>
              </w:rPr>
            </w:pPr>
          </w:p>
          <w:p w14:paraId="4C09B717" w14:textId="23C284D7" w:rsidR="000909FD" w:rsidRPr="0048386F" w:rsidRDefault="000909FD" w:rsidP="000909FD">
            <w:pPr>
              <w:rPr>
                <w:rFonts w:ascii="Times New Roman" w:hAnsi="Times New Roman" w:cs="Times New Roman"/>
                <w:b/>
              </w:rPr>
            </w:pPr>
            <w:r w:rsidRPr="0048386F">
              <w:rPr>
                <w:rFonts w:ascii="Times New Roman" w:hAnsi="Times New Roman" w:cs="Times New Roman"/>
                <w:b/>
              </w:rPr>
              <w:t>Miejscowość</w:t>
            </w:r>
            <w:r w:rsidR="0048386F" w:rsidRPr="0048386F">
              <w:rPr>
                <w:rFonts w:ascii="Times New Roman" w:hAnsi="Times New Roman" w:cs="Times New Roman"/>
                <w:b/>
              </w:rPr>
              <w:t xml:space="preserve"> – Kozłowo ciąg drogi wojewódzkiej nr 545 w miejscowości Kozłowo </w:t>
            </w:r>
            <w:r w:rsidR="00541EFF">
              <w:rPr>
                <w:rFonts w:ascii="Times New Roman" w:hAnsi="Times New Roman" w:cs="Times New Roman"/>
                <w:b/>
              </w:rPr>
              <w:t>( obecnie lampy o mocy 150 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BF07" w14:textId="1A5E03BF" w:rsidR="000909FD" w:rsidRPr="00541EFF" w:rsidRDefault="00541EFF" w:rsidP="000909FD">
            <w:pPr>
              <w:rPr>
                <w:rFonts w:ascii="Times New Roman" w:hAnsi="Times New Roman" w:cs="Times New Roman"/>
                <w:b/>
              </w:rPr>
            </w:pPr>
            <w:r w:rsidRPr="00541EFF">
              <w:rPr>
                <w:rFonts w:ascii="Times New Roman" w:hAnsi="Times New Roman" w:cs="Times New Roman"/>
                <w:b/>
              </w:rPr>
              <w:t>Docelowo o</w:t>
            </w:r>
            <w:r w:rsidR="000909FD" w:rsidRPr="00541EFF">
              <w:rPr>
                <w:rFonts w:ascii="Times New Roman" w:hAnsi="Times New Roman" w:cs="Times New Roman"/>
                <w:b/>
              </w:rPr>
              <w:t xml:space="preserve">prawy min. </w:t>
            </w:r>
            <w:r w:rsidR="00F36798" w:rsidRPr="00541EFF">
              <w:rPr>
                <w:rFonts w:ascii="Times New Roman" w:hAnsi="Times New Roman" w:cs="Times New Roman"/>
                <w:b/>
              </w:rPr>
              <w:t xml:space="preserve">od </w:t>
            </w:r>
            <w:r w:rsidR="000909FD" w:rsidRPr="00541EFF">
              <w:rPr>
                <w:rFonts w:ascii="Times New Roman" w:hAnsi="Times New Roman" w:cs="Times New Roman"/>
                <w:b/>
              </w:rPr>
              <w:t>7</w:t>
            </w:r>
            <w:r w:rsidR="005C51A3" w:rsidRPr="00541EFF">
              <w:rPr>
                <w:rFonts w:ascii="Times New Roman" w:hAnsi="Times New Roman" w:cs="Times New Roman"/>
                <w:b/>
              </w:rPr>
              <w:t>5</w:t>
            </w:r>
            <w:r w:rsidR="000909FD" w:rsidRPr="00541EFF">
              <w:rPr>
                <w:rFonts w:ascii="Times New Roman" w:hAnsi="Times New Roman" w:cs="Times New Roman"/>
                <w:b/>
              </w:rPr>
              <w:t>W</w:t>
            </w:r>
            <w:r w:rsidR="00F36798" w:rsidRPr="00541EFF">
              <w:rPr>
                <w:rFonts w:ascii="Times New Roman" w:hAnsi="Times New Roman" w:cs="Times New Roman"/>
                <w:b/>
              </w:rPr>
              <w:t xml:space="preserve"> do </w:t>
            </w:r>
            <w:r w:rsidR="005C51A3" w:rsidRPr="00541EFF">
              <w:rPr>
                <w:rFonts w:ascii="Times New Roman" w:hAnsi="Times New Roman" w:cs="Times New Roman"/>
                <w:b/>
              </w:rPr>
              <w:t>80</w:t>
            </w:r>
            <w:r w:rsidR="00F36798" w:rsidRPr="00541EFF">
              <w:rPr>
                <w:rFonts w:ascii="Times New Roman" w:hAnsi="Times New Roman" w:cs="Times New Roman"/>
                <w:b/>
              </w:rPr>
              <w:t>W</w:t>
            </w:r>
            <w:r w:rsidR="000909FD" w:rsidRPr="00541EFF">
              <w:rPr>
                <w:rFonts w:ascii="Times New Roman" w:hAnsi="Times New Roman" w:cs="Times New Roman"/>
                <w:b/>
              </w:rPr>
              <w:t xml:space="preserve"> (szt.)</w:t>
            </w:r>
          </w:p>
        </w:tc>
      </w:tr>
      <w:tr w:rsidR="000909FD" w:rsidRPr="0048386F" w14:paraId="707B997D" w14:textId="77777777" w:rsidTr="00541EF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C70C" w14:textId="77777777" w:rsidR="000909FD" w:rsidRPr="0048386F" w:rsidRDefault="000909FD" w:rsidP="000909FD">
            <w:pPr>
              <w:rPr>
                <w:rFonts w:ascii="Times New Roman" w:hAnsi="Times New Roman" w:cs="Times New Roman"/>
                <w:bCs/>
              </w:rPr>
            </w:pPr>
            <w:r w:rsidRPr="0048386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097A" w14:textId="7B1C2676" w:rsidR="000909FD" w:rsidRPr="0048386F" w:rsidRDefault="0048386F" w:rsidP="000909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obwodzie nr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594D" w14:textId="329DD60F" w:rsidR="000909FD" w:rsidRPr="0048386F" w:rsidRDefault="0048386F" w:rsidP="000909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0909FD" w:rsidRPr="0048386F" w14:paraId="6C123845" w14:textId="77777777" w:rsidTr="00541EF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4B4B" w14:textId="77777777" w:rsidR="000909FD" w:rsidRPr="0048386F" w:rsidRDefault="000909FD" w:rsidP="000909FD">
            <w:pPr>
              <w:rPr>
                <w:rFonts w:ascii="Times New Roman" w:hAnsi="Times New Roman" w:cs="Times New Roman"/>
                <w:bCs/>
              </w:rPr>
            </w:pPr>
            <w:r w:rsidRPr="0048386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51E3" w14:textId="565A7B69" w:rsidR="000909FD" w:rsidRPr="0048386F" w:rsidRDefault="0048386F" w:rsidP="000909FD">
            <w:pPr>
              <w:rPr>
                <w:rFonts w:ascii="Times New Roman" w:hAnsi="Times New Roman" w:cs="Times New Roman"/>
                <w:bCs/>
              </w:rPr>
            </w:pPr>
            <w:r w:rsidRPr="0048386F">
              <w:rPr>
                <w:rFonts w:ascii="Times New Roman" w:hAnsi="Times New Roman" w:cs="Times New Roman"/>
                <w:bCs/>
              </w:rPr>
              <w:t>W obwodzie nr 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62E8" w14:textId="1913B463" w:rsidR="000909FD" w:rsidRPr="0048386F" w:rsidRDefault="0048386F" w:rsidP="000909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0909FD" w:rsidRPr="0048386F" w14:paraId="386A47E5" w14:textId="77777777" w:rsidTr="00541EF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8EAE" w14:textId="77777777" w:rsidR="000909FD" w:rsidRPr="0048386F" w:rsidRDefault="000909FD" w:rsidP="000909FD">
            <w:pPr>
              <w:rPr>
                <w:rFonts w:ascii="Times New Roman" w:hAnsi="Times New Roman" w:cs="Times New Roman"/>
                <w:bCs/>
              </w:rPr>
            </w:pPr>
            <w:r w:rsidRPr="0048386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53FE" w14:textId="652C3A15" w:rsidR="000909FD" w:rsidRPr="0048386F" w:rsidRDefault="0048386F" w:rsidP="000909FD">
            <w:pPr>
              <w:rPr>
                <w:rFonts w:ascii="Times New Roman" w:hAnsi="Times New Roman" w:cs="Times New Roman"/>
                <w:bCs/>
              </w:rPr>
            </w:pPr>
            <w:r w:rsidRPr="0048386F">
              <w:rPr>
                <w:rFonts w:ascii="Times New Roman" w:hAnsi="Times New Roman" w:cs="Times New Roman"/>
                <w:bCs/>
              </w:rPr>
              <w:t>W obwodzie nr 1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2C9C" w14:textId="4573FC7B" w:rsidR="000909FD" w:rsidRPr="0048386F" w:rsidRDefault="0048386F" w:rsidP="000909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0909FD" w:rsidRPr="0048386F" w14:paraId="48F5A3D4" w14:textId="77777777" w:rsidTr="00541EFF">
        <w:trPr>
          <w:jc w:val="center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0592" w14:textId="0800C7A5" w:rsidR="000909FD" w:rsidRPr="0048386F" w:rsidRDefault="0048386F" w:rsidP="000909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0909FD" w:rsidRPr="0048386F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7BFF" w14:textId="3C5FBBF7" w:rsidR="000909FD" w:rsidRPr="0048386F" w:rsidRDefault="00792FE9" w:rsidP="000909FD">
            <w:pPr>
              <w:rPr>
                <w:rFonts w:ascii="Times New Roman" w:hAnsi="Times New Roman" w:cs="Times New Roman"/>
                <w:b/>
                <w:bCs/>
              </w:rPr>
            </w:pPr>
            <w:r w:rsidRPr="0048386F">
              <w:rPr>
                <w:rFonts w:ascii="Times New Roman" w:hAnsi="Times New Roman" w:cs="Times New Roman"/>
                <w:b/>
                <w:bCs/>
              </w:rPr>
              <w:t>167</w:t>
            </w:r>
          </w:p>
        </w:tc>
      </w:tr>
    </w:tbl>
    <w:p w14:paraId="129ACCB7" w14:textId="77777777" w:rsidR="000909FD" w:rsidRPr="0048386F" w:rsidRDefault="000909FD" w:rsidP="000909FD">
      <w:pPr>
        <w:rPr>
          <w:rFonts w:ascii="Times New Roman" w:hAnsi="Times New Roman" w:cs="Times New Roman"/>
          <w:bCs/>
        </w:rPr>
      </w:pPr>
    </w:p>
    <w:p w14:paraId="57AC5402" w14:textId="7AFBCEDC" w:rsidR="000909FD" w:rsidRPr="0048386F" w:rsidRDefault="000909FD" w:rsidP="000909FD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>Oprawy wraz z żarówkami pochodzące z demontażu stanowią własność Z</w:t>
      </w:r>
      <w:r w:rsidR="00640DCF">
        <w:rPr>
          <w:rFonts w:ascii="Times New Roman" w:hAnsi="Times New Roman" w:cs="Times New Roman"/>
          <w:bCs/>
        </w:rPr>
        <w:t>arządcy Drogi Wojewódzkiej</w:t>
      </w:r>
      <w:r w:rsidRPr="0048386F">
        <w:rPr>
          <w:rFonts w:ascii="Times New Roman" w:hAnsi="Times New Roman" w:cs="Times New Roman"/>
          <w:bCs/>
        </w:rPr>
        <w:t xml:space="preserve"> i podlegają przekazaniu </w:t>
      </w:r>
      <w:r w:rsidR="00640DCF">
        <w:rPr>
          <w:rFonts w:ascii="Times New Roman" w:hAnsi="Times New Roman" w:cs="Times New Roman"/>
          <w:bCs/>
        </w:rPr>
        <w:t>jemu</w:t>
      </w:r>
      <w:r w:rsidRPr="0048386F">
        <w:rPr>
          <w:rFonts w:ascii="Times New Roman" w:hAnsi="Times New Roman" w:cs="Times New Roman"/>
          <w:bCs/>
        </w:rPr>
        <w:t xml:space="preserve"> w stanie nienaruszonym.</w:t>
      </w:r>
    </w:p>
    <w:p w14:paraId="091FAE2A" w14:textId="37D23312" w:rsidR="000909FD" w:rsidRPr="0048386F" w:rsidRDefault="000909FD" w:rsidP="000909FD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Wszelkie prace prowadzone w pasie drogowym czyli fizyczne zajęcie powierzchni pasa drogowego w celu prowadzenia </w:t>
      </w:r>
      <w:r w:rsidR="00A910DC">
        <w:rPr>
          <w:rFonts w:ascii="Times New Roman" w:hAnsi="Times New Roman" w:cs="Times New Roman"/>
          <w:bCs/>
        </w:rPr>
        <w:t>montażu</w:t>
      </w:r>
      <w:r w:rsidRPr="0048386F">
        <w:rPr>
          <w:rFonts w:ascii="Times New Roman" w:hAnsi="Times New Roman" w:cs="Times New Roman"/>
          <w:bCs/>
        </w:rPr>
        <w:t xml:space="preserve"> wymagają pozwolenia w formie decyzji administracyjnej Zarządcy drogi (jeśli jest wymagane).</w:t>
      </w:r>
    </w:p>
    <w:p w14:paraId="1F694824" w14:textId="23E86459" w:rsidR="000909FD" w:rsidRPr="0048386F" w:rsidRDefault="000909FD" w:rsidP="000909FD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48386F">
        <w:rPr>
          <w:rFonts w:ascii="Times New Roman" w:hAnsi="Times New Roman" w:cs="Times New Roman"/>
          <w:bCs/>
        </w:rPr>
        <w:t xml:space="preserve">Wykonawca na własny koszt wykona i uzgodni z odpowiednimi służbami projekt zmiany organizacji ruchu na czas prowadzenia  </w:t>
      </w:r>
      <w:r w:rsidR="00A910DC">
        <w:rPr>
          <w:rFonts w:ascii="Times New Roman" w:hAnsi="Times New Roman" w:cs="Times New Roman"/>
          <w:bCs/>
        </w:rPr>
        <w:t>montażu</w:t>
      </w:r>
      <w:r w:rsidRPr="0048386F">
        <w:rPr>
          <w:rFonts w:ascii="Times New Roman" w:hAnsi="Times New Roman" w:cs="Times New Roman"/>
          <w:bCs/>
        </w:rPr>
        <w:t xml:space="preserve">. Roboty prowadzone będą w pasie dróg  wojewódzkich </w:t>
      </w:r>
      <w:r w:rsidR="00C7212A">
        <w:rPr>
          <w:rFonts w:ascii="Times New Roman" w:hAnsi="Times New Roman" w:cs="Times New Roman"/>
          <w:bCs/>
        </w:rPr>
        <w:t>,</w:t>
      </w:r>
      <w:r w:rsidRPr="0048386F">
        <w:rPr>
          <w:rFonts w:ascii="Times New Roman" w:hAnsi="Times New Roman" w:cs="Times New Roman"/>
          <w:bCs/>
        </w:rPr>
        <w:t xml:space="preserve"> powiatowych</w:t>
      </w:r>
      <w:r w:rsidR="00C7212A">
        <w:rPr>
          <w:rFonts w:ascii="Times New Roman" w:hAnsi="Times New Roman" w:cs="Times New Roman"/>
          <w:bCs/>
        </w:rPr>
        <w:t xml:space="preserve"> i gminnych</w:t>
      </w:r>
      <w:r w:rsidRPr="0048386F">
        <w:rPr>
          <w:rFonts w:ascii="Times New Roman" w:hAnsi="Times New Roman" w:cs="Times New Roman"/>
          <w:bCs/>
        </w:rPr>
        <w:t xml:space="preserve"> (jeśli wymagane).  </w:t>
      </w:r>
    </w:p>
    <w:p w14:paraId="2501607A" w14:textId="77777777" w:rsidR="000909FD" w:rsidRPr="0048386F" w:rsidRDefault="000909FD" w:rsidP="000909FD">
      <w:pPr>
        <w:rPr>
          <w:rFonts w:ascii="Times New Roman" w:hAnsi="Times New Roman" w:cs="Times New Roman"/>
          <w:bCs/>
        </w:rPr>
      </w:pPr>
    </w:p>
    <w:p w14:paraId="441CB0EA" w14:textId="77777777" w:rsidR="00EA755E" w:rsidRPr="0048386F" w:rsidRDefault="00EA755E" w:rsidP="00EA755E">
      <w:pPr>
        <w:rPr>
          <w:rFonts w:ascii="Times New Roman" w:hAnsi="Times New Roman" w:cs="Times New Roman"/>
          <w:bCs/>
        </w:rPr>
      </w:pPr>
    </w:p>
    <w:p w14:paraId="20C727ED" w14:textId="77777777" w:rsidR="00EA755E" w:rsidRPr="0048386F" w:rsidRDefault="00EA755E" w:rsidP="00EA755E">
      <w:pPr>
        <w:rPr>
          <w:rFonts w:ascii="Times New Roman" w:hAnsi="Times New Roman" w:cs="Times New Roman"/>
          <w:b/>
          <w:bCs/>
          <w:u w:val="single"/>
        </w:rPr>
      </w:pPr>
    </w:p>
    <w:p w14:paraId="3A667836" w14:textId="77777777" w:rsidR="00EA755E" w:rsidRPr="0048386F" w:rsidRDefault="00EA755E" w:rsidP="00FA74B9">
      <w:pPr>
        <w:rPr>
          <w:rFonts w:ascii="Times New Roman" w:hAnsi="Times New Roman" w:cs="Times New Roman"/>
          <w:b/>
          <w:u w:val="single"/>
        </w:rPr>
      </w:pPr>
    </w:p>
    <w:p w14:paraId="1B6C14FC" w14:textId="77777777" w:rsidR="00FA74B9" w:rsidRPr="0048386F" w:rsidRDefault="00FA74B9" w:rsidP="0006365D">
      <w:pPr>
        <w:rPr>
          <w:rFonts w:ascii="Times New Roman" w:hAnsi="Times New Roman" w:cs="Times New Roman"/>
          <w:u w:val="single"/>
        </w:rPr>
      </w:pPr>
    </w:p>
    <w:sectPr w:rsidR="00FA74B9" w:rsidRPr="0048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158EB"/>
    <w:multiLevelType w:val="multilevel"/>
    <w:tmpl w:val="F0D6CD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4D3B0C"/>
    <w:multiLevelType w:val="multilevel"/>
    <w:tmpl w:val="F3384DD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40036B3D"/>
    <w:multiLevelType w:val="multilevel"/>
    <w:tmpl w:val="8564DC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4040C3B"/>
    <w:multiLevelType w:val="hybridMultilevel"/>
    <w:tmpl w:val="3476E53E"/>
    <w:lvl w:ilvl="0" w:tplc="A04271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E6E25"/>
    <w:multiLevelType w:val="hybridMultilevel"/>
    <w:tmpl w:val="76F626D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7C33B0"/>
    <w:multiLevelType w:val="multilevel"/>
    <w:tmpl w:val="662E866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78AA6718"/>
    <w:multiLevelType w:val="multilevel"/>
    <w:tmpl w:val="7CA8B1A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43686315">
    <w:abstractNumId w:val="4"/>
  </w:num>
  <w:num w:numId="2" w16cid:durableId="95368301">
    <w:abstractNumId w:val="3"/>
  </w:num>
  <w:num w:numId="3" w16cid:durableId="1831555904">
    <w:abstractNumId w:val="6"/>
  </w:num>
  <w:num w:numId="4" w16cid:durableId="1175070916">
    <w:abstractNumId w:val="1"/>
  </w:num>
  <w:num w:numId="5" w16cid:durableId="2146122364">
    <w:abstractNumId w:val="5"/>
  </w:num>
  <w:num w:numId="6" w16cid:durableId="1125465537">
    <w:abstractNumId w:val="0"/>
  </w:num>
  <w:num w:numId="7" w16cid:durableId="529032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1"/>
    <w:rsid w:val="0006365D"/>
    <w:rsid w:val="000909FD"/>
    <w:rsid w:val="000B25F4"/>
    <w:rsid w:val="001141B9"/>
    <w:rsid w:val="0014472F"/>
    <w:rsid w:val="002E6D6A"/>
    <w:rsid w:val="00304706"/>
    <w:rsid w:val="00323610"/>
    <w:rsid w:val="0038516B"/>
    <w:rsid w:val="003E40F5"/>
    <w:rsid w:val="0048386F"/>
    <w:rsid w:val="0049345D"/>
    <w:rsid w:val="004D4763"/>
    <w:rsid w:val="00541EFF"/>
    <w:rsid w:val="0058030C"/>
    <w:rsid w:val="005C51A3"/>
    <w:rsid w:val="00640DCF"/>
    <w:rsid w:val="00733D1D"/>
    <w:rsid w:val="00755B4A"/>
    <w:rsid w:val="00765799"/>
    <w:rsid w:val="00792FE9"/>
    <w:rsid w:val="00850B02"/>
    <w:rsid w:val="00A37A11"/>
    <w:rsid w:val="00A910DC"/>
    <w:rsid w:val="00A96FA6"/>
    <w:rsid w:val="00BA4795"/>
    <w:rsid w:val="00C0592A"/>
    <w:rsid w:val="00C7212A"/>
    <w:rsid w:val="00C81DDD"/>
    <w:rsid w:val="00C9650D"/>
    <w:rsid w:val="00D421D8"/>
    <w:rsid w:val="00EA755E"/>
    <w:rsid w:val="00F36798"/>
    <w:rsid w:val="00F37503"/>
    <w:rsid w:val="00F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DECA"/>
  <w15:chartTrackingRefBased/>
  <w15:docId w15:val="{48FBC4DA-7F78-4B63-82C8-E4D8A84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C81DDD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C81DDD"/>
    <w:pPr>
      <w:widowControl w:val="0"/>
      <w:shd w:val="clear" w:color="auto" w:fill="FFFFFF"/>
      <w:suppressAutoHyphens/>
      <w:spacing w:after="0" w:line="360" w:lineRule="auto"/>
      <w:jc w:val="both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909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lq-consorti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Rgt_01</dc:creator>
  <cp:keywords/>
  <dc:description/>
  <cp:lastModifiedBy>Rgt_01</cp:lastModifiedBy>
  <cp:revision>24</cp:revision>
  <dcterms:created xsi:type="dcterms:W3CDTF">2024-04-04T07:53:00Z</dcterms:created>
  <dcterms:modified xsi:type="dcterms:W3CDTF">2024-06-11T08:14:00Z</dcterms:modified>
</cp:coreProperties>
</file>