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257BD526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1AACDEDC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0553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  <w:r w:rsidR="000E71C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*)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AF1F834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wraz przekazaniem pełnej dokumentacji dla potrzeb odbioru wymaganego przepisami prawa odpowiedniego urzędu</w:t>
            </w:r>
            <w:r w:rsidR="00161331" w:rsidRPr="003A394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4266E4D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Przeszkolenie personelu w zakresie obsługi </w:t>
            </w:r>
            <w:r w:rsidR="000E71CB"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3A394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CF0F8A" w14:textId="7556E5E2" w:rsidR="000E71CB" w:rsidRPr="005D73A8" w:rsidRDefault="0028276D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sz w:val="22"/>
          <w:szCs w:val="22"/>
        </w:rPr>
        <w:t>*</w:t>
      </w:r>
      <w:r w:rsidR="000E71CB" w:rsidRPr="005D73A8">
        <w:rPr>
          <w:rFonts w:ascii="Calibri" w:hAnsi="Calibri"/>
          <w:sz w:val="22"/>
          <w:szCs w:val="22"/>
        </w:rPr>
        <w:t xml:space="preserve">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>Wypełnić, jeżeli zaoferowano elementy wyposażenia przedmiotu zamówienia, które są opodatkowane inną stawką podatku VAT niż zastosowana</w:t>
      </w:r>
      <w:r w:rsidR="00E92912" w:rsidRPr="005D73A8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</w:t>
      </w:r>
      <w:r w:rsidR="00754901" w:rsidRPr="005D73A8">
        <w:rPr>
          <w:rFonts w:asciiTheme="minorHAnsi" w:hAnsiTheme="minorHAnsi" w:cstheme="minorHAnsi"/>
          <w:i/>
          <w:iCs/>
          <w:sz w:val="22"/>
          <w:szCs w:val="22"/>
        </w:rPr>
        <w:t xml:space="preserve"> w poz. 1.</w:t>
      </w:r>
    </w:p>
    <w:p w14:paraId="22F44E78" w14:textId="2915BFAC" w:rsidR="0028276D" w:rsidRPr="005D73A8" w:rsidRDefault="000E71CB" w:rsidP="002827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D73A8">
        <w:rPr>
          <w:rFonts w:asciiTheme="minorHAnsi" w:hAnsiTheme="minorHAnsi" w:cstheme="minorHAnsi"/>
          <w:i/>
          <w:iCs/>
          <w:sz w:val="22"/>
          <w:szCs w:val="22"/>
        </w:rPr>
        <w:t>**</w:t>
      </w:r>
      <w:r w:rsidR="0028276D" w:rsidRPr="005D73A8">
        <w:rPr>
          <w:rFonts w:asciiTheme="minorHAnsi" w:hAnsiTheme="minorHAnsi" w:cstheme="minorHAnsi"/>
          <w:i/>
          <w:iCs/>
          <w:sz w:val="22"/>
          <w:szCs w:val="22"/>
        </w:rPr>
        <w:t>W przypadku nieodpłatności usługi wpisać 0 zł</w:t>
      </w:r>
    </w:p>
    <w:p w14:paraId="11730D8A" w14:textId="77777777" w:rsidR="0028276D" w:rsidRPr="000553D4" w:rsidRDefault="0028276D" w:rsidP="0028276D">
      <w:pPr>
        <w:rPr>
          <w:rFonts w:asciiTheme="minorHAnsi" w:hAnsiTheme="minorHAnsi" w:cstheme="minorHAnsi"/>
          <w:szCs w:val="24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7230"/>
        <w:gridCol w:w="2031"/>
        <w:gridCol w:w="2052"/>
        <w:gridCol w:w="2405"/>
      </w:tblGrid>
      <w:tr w:rsidR="005F26EA" w:rsidRPr="00852C57" w14:paraId="6A0F5DD5" w14:textId="77777777" w:rsidTr="000553D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0553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481E6F20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0A7719" w:rsidRPr="00A6171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B4379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calowy</w:t>
            </w:r>
            <w:r w:rsidR="00C97CA3" w:rsidRPr="00A61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>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Aparat ma umożliwiać wykonanie  obrazowania w trakcie jednej ekspozycji dla jednej części o kształcie anatomicznym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volumenu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0553D4">
        <w:trPr>
          <w:cantSplit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>pantomograficznego</w:t>
            </w:r>
            <w:proofErr w:type="spellEnd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voxel</w:t>
            </w:r>
            <w:proofErr w:type="spellEnd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wielkości nie większej niż 80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75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  </w:t>
            </w:r>
            <w:proofErr w:type="spellStart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posiadać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maksymalne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pole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obrazowania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typu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wartości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 </w:t>
            </w:r>
            <w:proofErr w:type="spellStart"/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endo</w:t>
            </w:r>
            <w:proofErr w:type="spellEnd"/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24B17E00" w14:textId="43FDFEDE" w:rsidR="006A463D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45696A" w:rsidRPr="0045696A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  <w:shd w:val="clear" w:color="auto" w:fill="FFFFFF"/>
              </w:rPr>
              <w:t>mm</w:t>
            </w:r>
            <w:r w:rsidR="0045696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  <w:p w14:paraId="1F1AEF06" w14:textId="5EEEC66D" w:rsidR="000A7719" w:rsidRPr="00A61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55261FBA" w14:textId="5582C763" w:rsidR="000A7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Ø 50x50</w:t>
            </w:r>
            <w:r w:rsidR="0045696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5696A" w:rsidRPr="0045696A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  <w:shd w:val="clear" w:color="auto" w:fill="FFFFFF"/>
              </w:rPr>
              <w:t>mm</w:t>
            </w:r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 najwyższą rozdzielczością</w:t>
            </w:r>
          </w:p>
          <w:p w14:paraId="79B0325F" w14:textId="77777777" w:rsidR="00CD5CA5" w:rsidRPr="00A61719" w:rsidRDefault="00CD5CA5" w:rsidP="00CD5C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6171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7C3A0FC1" w14:textId="60D5C8C6" w:rsidR="00CD5CA5" w:rsidRPr="005D73A8" w:rsidRDefault="00CD5CA5" w:rsidP="00CD5C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D5CA5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lastRenderedPageBreak/>
              <w:t>Ø 50x55</w:t>
            </w:r>
            <w:r w:rsidR="0045696A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r w:rsidR="0045696A" w:rsidRPr="00965A51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  <w:shd w:val="clear" w:color="auto" w:fill="FFFFFF"/>
              </w:rPr>
              <w:t>mm</w:t>
            </w:r>
            <w:r w:rsidRPr="00CD5CA5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t xml:space="preserve"> z najwyższą rozdzielczością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0D3A1880" w:rsidR="00110363" w:rsidRPr="00852C57" w:rsidRDefault="00110363" w:rsidP="005D73A8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57F51EDB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 przetwarzania obrazu z możliwością obsługi wielu komputerów w sieci wewnętrznej przychodni </w:t>
            </w:r>
            <w:r w:rsidRPr="00A3238E">
              <w:rPr>
                <w:rFonts w:asciiTheme="minorHAnsi" w:hAnsiTheme="minorHAnsi" w:cstheme="minorHAnsi"/>
                <w:sz w:val="18"/>
                <w:szCs w:val="18"/>
              </w:rPr>
              <w:t>UCS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lub  dopuszczalne jest równolegle wykorzystanie oprogramowania producenta wraz z jego serwerem, </w:t>
            </w:r>
            <w:r w:rsidR="00A3238E" w:rsidRPr="005D73A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 warunkiem, że wszystkie badania wykonane na CBCT trafią do centralnego systemu PACS posiadanego przez UCS</w:t>
            </w:r>
            <w:r w:rsidR="00A3238E"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0553D4">
              <w:rPr>
                <w:rFonts w:asciiTheme="minorHAnsi" w:hAnsiTheme="minorHAnsi" w:cstheme="minorHAnsi"/>
                <w:sz w:val="18"/>
                <w:szCs w:val="18"/>
              </w:rPr>
              <w:t xml:space="preserve">Wymagana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jest komunikacja DICOM jedynie w zakresie DICOM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Modality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– (list roboczych DICOM tzw. DMW 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Store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0553D4" w:rsidRPr="00852C57" w14:paraId="5F79AB56" w14:textId="77777777" w:rsidTr="000553D4">
        <w:trPr>
          <w:cantSplit/>
          <w:trHeight w:val="355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0553D4" w:rsidRPr="00852C57" w:rsidRDefault="000553D4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0553D4" w:rsidRPr="00852C57" w:rsidRDefault="000553D4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0553D4" w:rsidRPr="00852C57" w:rsidRDefault="000553D4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0553D4" w:rsidRPr="00852C57" w:rsidRDefault="000553D4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1FE5" w14:textId="4BC5650E" w:rsid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Punkty sumują się.</w:t>
            </w:r>
          </w:p>
          <w:p w14:paraId="6EC29B88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E59F91" w14:textId="1746FF5E" w:rsidR="000553D4" w:rsidRPr="000553D4" w:rsidRDefault="000553D4" w:rsidP="00E72B9A">
            <w:pPr>
              <w:keepNext/>
              <w:ind w:right="464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funkcję endoskopu:</w:t>
            </w:r>
          </w:p>
          <w:p w14:paraId="7D276AFE" w14:textId="1585589B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37A4E3D6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4092FF" w14:textId="77777777" w:rsidR="000553D4" w:rsidRPr="000553D4" w:rsidRDefault="000553D4" w:rsidP="000553D4">
            <w:pPr>
              <w:keepNext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DICOM:</w:t>
            </w:r>
          </w:p>
          <w:p w14:paraId="0454433E" w14:textId="7F7F18A3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49E11E4C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A445B7" w14:textId="77777777" w:rsidR="000553D4" w:rsidRPr="000553D4" w:rsidRDefault="000553D4" w:rsidP="00E72B9A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DICOM:</w:t>
            </w:r>
          </w:p>
          <w:p w14:paraId="4C134D0E" w14:textId="3AD59B41" w:rsid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 -1 pkt.  Nie – 0 pkt.</w:t>
            </w:r>
          </w:p>
          <w:p w14:paraId="2FB1E75A" w14:textId="77777777" w:rsidR="000553D4" w:rsidRPr="000553D4" w:rsidRDefault="000553D4" w:rsidP="000553D4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0C2E28A" w14:textId="1B7FE82E" w:rsidR="000553D4" w:rsidRPr="000553D4" w:rsidRDefault="000553D4" w:rsidP="00A95409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Inne możliwości (wymienić) – każda kolejna 1 pkt.</w:t>
            </w:r>
          </w:p>
        </w:tc>
      </w:tr>
      <w:tr w:rsidR="00E8466D" w:rsidRPr="00852C57" w14:paraId="06C77B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2097D2A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Rentgenowski generator HV</w:t>
            </w:r>
          </w:p>
        </w:tc>
      </w:tr>
      <w:tr w:rsidR="00E8466D" w:rsidRPr="00852C57" w14:paraId="3454E521" w14:textId="77777777" w:rsidTr="000553D4">
        <w:trPr>
          <w:cantSplit/>
          <w:trHeight w:val="8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max. 120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Lampa</w:t>
            </w:r>
          </w:p>
        </w:tc>
      </w:tr>
      <w:tr w:rsidR="00E8466D" w:rsidRPr="00852C57" w14:paraId="5331336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Czujnik zdjęciowy</w:t>
            </w:r>
          </w:p>
        </w:tc>
      </w:tr>
      <w:tr w:rsidR="00E8466D" w:rsidRPr="00852C57" w14:paraId="11FD423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5C4B5EF5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Wysokość 1596 mm – 2550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286CE3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Minimalna wymagana przestrzeń do montażu 150 x 200 cm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15D1652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003075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Szerokość x głębokość - 1000 x 1200 mm </w:t>
            </w:r>
            <w:r w:rsidR="003A1871">
              <w:t xml:space="preserve"> </w:t>
            </w:r>
            <w:r w:rsidR="003A1871" w:rsidRPr="00D7668E">
              <w:rPr>
                <w:rFonts w:asciiTheme="minorHAnsi" w:hAnsiTheme="minorHAnsi" w:cstheme="minorHAnsi"/>
                <w:color w:val="1F497D" w:themeColor="text2"/>
                <w:sz w:val="20"/>
              </w:rPr>
              <w:t>(+/- 20%)</w:t>
            </w:r>
            <w:bookmarkEnd w:id="2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50/60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kVa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89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 - 2 pkt.</w:t>
            </w:r>
          </w:p>
        </w:tc>
      </w:tr>
      <w:tr w:rsidR="00E8466D" w:rsidRPr="00852C57" w14:paraId="13E1859A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</w:t>
            </w:r>
            <w:proofErr w:type="spellStart"/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89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89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89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89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0AE0E193" w14:textId="55D1247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</w:t>
            </w:r>
            <w:r w:rsidR="000553D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</w:t>
            </w:r>
            <w:r w:rsidR="00055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89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89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0553D4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dodatkowe</w:t>
            </w:r>
          </w:p>
        </w:tc>
      </w:tr>
      <w:tr w:rsidR="00C662D3" w:rsidRPr="00852C57" w14:paraId="52A71808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3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Montaż sprzętu, szkolenie personelu, uruchomienie systemu informatycznego  do obsługi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3d w obrębie istniejącej infrastruktury teleinformatycznej Centrum.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0553D4">
        <w:trPr>
          <w:cantSplit/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C1F6" w14:textId="77777777" w:rsidR="00430EB2" w:rsidRDefault="00430EB2" w:rsidP="005F26EA">
      <w:r>
        <w:separator/>
      </w:r>
    </w:p>
  </w:endnote>
  <w:endnote w:type="continuationSeparator" w:id="0">
    <w:p w14:paraId="0192AC08" w14:textId="77777777" w:rsidR="00430EB2" w:rsidRDefault="00430EB2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CCFD" w14:textId="77777777" w:rsidR="00430EB2" w:rsidRDefault="00430EB2" w:rsidP="005F26EA">
      <w:r>
        <w:separator/>
      </w:r>
    </w:p>
  </w:footnote>
  <w:footnote w:type="continuationSeparator" w:id="0">
    <w:p w14:paraId="71916897" w14:textId="77777777" w:rsidR="00430EB2" w:rsidRDefault="00430EB2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555375B7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4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  <w:r w:rsidR="00CD5CA5">
      <w:rPr>
        <w:rFonts w:asciiTheme="minorHAnsi" w:hAnsiTheme="minorHAnsi" w:cstheme="minorHAnsi"/>
      </w:rPr>
      <w:t>– po zmianach</w:t>
    </w:r>
    <w:r w:rsidR="00B27F0B">
      <w:rPr>
        <w:rFonts w:asciiTheme="minorHAnsi" w:hAnsiTheme="minorHAnsi" w:cstheme="minorHAnsi"/>
      </w:rPr>
      <w:t xml:space="preserve"> 2</w:t>
    </w:r>
  </w:p>
  <w:bookmarkEnd w:id="4"/>
  <w:p w14:paraId="2C7ED73B" w14:textId="25AFCE8A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</w:t>
    </w:r>
    <w:r w:rsidR="00A61719">
      <w:rPr>
        <w:rFonts w:asciiTheme="minorHAnsi" w:hAnsiTheme="minorHAnsi" w:cstheme="minorHAnsi"/>
        <w:i/>
        <w:iCs/>
        <w:sz w:val="22"/>
        <w:szCs w:val="22"/>
      </w:rPr>
      <w:t>6</w:t>
    </w:r>
    <w:r>
      <w:rPr>
        <w:rFonts w:asciiTheme="minorHAnsi" w:hAnsiTheme="minorHAnsi" w:cstheme="minorHAnsi"/>
        <w:i/>
        <w:iCs/>
        <w:sz w:val="22"/>
        <w:szCs w:val="22"/>
      </w:rPr>
      <w:t>/22</w:t>
    </w:r>
  </w:p>
  <w:p w14:paraId="619441B9" w14:textId="625330AA" w:rsidR="00AB3CAF" w:rsidRDefault="00430EB2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6CB"/>
    <w:multiLevelType w:val="hybridMultilevel"/>
    <w:tmpl w:val="8E70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28696438">
    <w:abstractNumId w:val="0"/>
  </w:num>
  <w:num w:numId="2" w16cid:durableId="1323465836">
    <w:abstractNumId w:val="5"/>
  </w:num>
  <w:num w:numId="3" w16cid:durableId="1310591055">
    <w:abstractNumId w:val="4"/>
  </w:num>
  <w:num w:numId="4" w16cid:durableId="841744758">
    <w:abstractNumId w:val="2"/>
  </w:num>
  <w:num w:numId="5" w16cid:durableId="1390807646">
    <w:abstractNumId w:val="3"/>
  </w:num>
  <w:num w:numId="6" w16cid:durableId="3579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53D4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A7719"/>
    <w:rsid w:val="000B02A4"/>
    <w:rsid w:val="000C0C63"/>
    <w:rsid w:val="000D41D4"/>
    <w:rsid w:val="000E3B08"/>
    <w:rsid w:val="000E71CB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61331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4B69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1871"/>
    <w:rsid w:val="003A3949"/>
    <w:rsid w:val="003A39F7"/>
    <w:rsid w:val="003A45D2"/>
    <w:rsid w:val="003A770A"/>
    <w:rsid w:val="003D1F6B"/>
    <w:rsid w:val="003D4C43"/>
    <w:rsid w:val="003D563F"/>
    <w:rsid w:val="003E6B17"/>
    <w:rsid w:val="003E6FF9"/>
    <w:rsid w:val="003F6AB5"/>
    <w:rsid w:val="00402558"/>
    <w:rsid w:val="00403F19"/>
    <w:rsid w:val="00405350"/>
    <w:rsid w:val="00407959"/>
    <w:rsid w:val="00425FD3"/>
    <w:rsid w:val="00430EB2"/>
    <w:rsid w:val="00445E93"/>
    <w:rsid w:val="004477DF"/>
    <w:rsid w:val="00455CF6"/>
    <w:rsid w:val="0045696A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174CF"/>
    <w:rsid w:val="00525ADE"/>
    <w:rsid w:val="00527327"/>
    <w:rsid w:val="005320F9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D73A8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806EA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4901"/>
    <w:rsid w:val="0075614E"/>
    <w:rsid w:val="00763866"/>
    <w:rsid w:val="00764D77"/>
    <w:rsid w:val="00782CB0"/>
    <w:rsid w:val="00784A82"/>
    <w:rsid w:val="0079006D"/>
    <w:rsid w:val="007958F7"/>
    <w:rsid w:val="0079640B"/>
    <w:rsid w:val="007A04BE"/>
    <w:rsid w:val="007A3014"/>
    <w:rsid w:val="007B1A8E"/>
    <w:rsid w:val="007C7D75"/>
    <w:rsid w:val="007D0763"/>
    <w:rsid w:val="007D28FD"/>
    <w:rsid w:val="007D6391"/>
    <w:rsid w:val="007E6A47"/>
    <w:rsid w:val="007E6CC0"/>
    <w:rsid w:val="007F0AED"/>
    <w:rsid w:val="0080336D"/>
    <w:rsid w:val="00807027"/>
    <w:rsid w:val="008419AB"/>
    <w:rsid w:val="00852142"/>
    <w:rsid w:val="00852C57"/>
    <w:rsid w:val="00866165"/>
    <w:rsid w:val="008712B2"/>
    <w:rsid w:val="00873545"/>
    <w:rsid w:val="00877BC4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5750"/>
    <w:rsid w:val="00917259"/>
    <w:rsid w:val="00917716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65A51"/>
    <w:rsid w:val="00970C89"/>
    <w:rsid w:val="00974CA1"/>
    <w:rsid w:val="009763F4"/>
    <w:rsid w:val="00981CD6"/>
    <w:rsid w:val="0099697F"/>
    <w:rsid w:val="009A3C81"/>
    <w:rsid w:val="009A5712"/>
    <w:rsid w:val="009B46AD"/>
    <w:rsid w:val="009C4DA2"/>
    <w:rsid w:val="009D379A"/>
    <w:rsid w:val="009D4F11"/>
    <w:rsid w:val="009D6A13"/>
    <w:rsid w:val="00A00845"/>
    <w:rsid w:val="00A06684"/>
    <w:rsid w:val="00A10D0E"/>
    <w:rsid w:val="00A11B2A"/>
    <w:rsid w:val="00A211F4"/>
    <w:rsid w:val="00A3238E"/>
    <w:rsid w:val="00A33D54"/>
    <w:rsid w:val="00A52242"/>
    <w:rsid w:val="00A60BB7"/>
    <w:rsid w:val="00A60C16"/>
    <w:rsid w:val="00A61719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11F49"/>
    <w:rsid w:val="00B20A63"/>
    <w:rsid w:val="00B21B31"/>
    <w:rsid w:val="00B25F0C"/>
    <w:rsid w:val="00B27F0B"/>
    <w:rsid w:val="00B31272"/>
    <w:rsid w:val="00B33279"/>
    <w:rsid w:val="00B43E32"/>
    <w:rsid w:val="00B46850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E6C08"/>
    <w:rsid w:val="00BF31F0"/>
    <w:rsid w:val="00C045CA"/>
    <w:rsid w:val="00C078B1"/>
    <w:rsid w:val="00C112E8"/>
    <w:rsid w:val="00C15F10"/>
    <w:rsid w:val="00C16C27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D5CA5"/>
    <w:rsid w:val="00CF4DA6"/>
    <w:rsid w:val="00CF61D0"/>
    <w:rsid w:val="00D0238C"/>
    <w:rsid w:val="00D17177"/>
    <w:rsid w:val="00D21F9E"/>
    <w:rsid w:val="00D24C1F"/>
    <w:rsid w:val="00D36003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7668E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DF58B0"/>
    <w:rsid w:val="00E0362A"/>
    <w:rsid w:val="00E13114"/>
    <w:rsid w:val="00E131BC"/>
    <w:rsid w:val="00E14C4C"/>
    <w:rsid w:val="00E17A39"/>
    <w:rsid w:val="00E24DC7"/>
    <w:rsid w:val="00E30D56"/>
    <w:rsid w:val="00E33896"/>
    <w:rsid w:val="00E35F2F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2B9A"/>
    <w:rsid w:val="00E743F8"/>
    <w:rsid w:val="00E82523"/>
    <w:rsid w:val="00E8466D"/>
    <w:rsid w:val="00E92912"/>
    <w:rsid w:val="00EA1A03"/>
    <w:rsid w:val="00EA2CC0"/>
    <w:rsid w:val="00EA5F88"/>
    <w:rsid w:val="00EB2423"/>
    <w:rsid w:val="00EC20D4"/>
    <w:rsid w:val="00ED3147"/>
    <w:rsid w:val="00F10289"/>
    <w:rsid w:val="00F10C26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D14-327C-43FC-84AC-701AAB3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22</cp:revision>
  <cp:lastPrinted>2022-04-05T08:41:00Z</cp:lastPrinted>
  <dcterms:created xsi:type="dcterms:W3CDTF">2022-04-01T09:27:00Z</dcterms:created>
  <dcterms:modified xsi:type="dcterms:W3CDTF">2022-04-11T13:05:00Z</dcterms:modified>
</cp:coreProperties>
</file>