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17FB" w14:textId="23C6FD1C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24199E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332F4B13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="00037400">
        <w:rPr>
          <w:rFonts w:ascii="Arial" w:hAnsi="Arial" w:cs="Arial"/>
          <w:sz w:val="24"/>
          <w:szCs w:val="24"/>
        </w:rPr>
        <w:t>……</w:t>
      </w:r>
      <w:r w:rsidR="00FE7DFF">
        <w:rPr>
          <w:rFonts w:ascii="Arial" w:hAnsi="Arial" w:cs="Arial"/>
          <w:sz w:val="24"/>
          <w:szCs w:val="24"/>
        </w:rPr>
        <w:t>…………</w:t>
      </w:r>
      <w:r w:rsidR="00037400">
        <w:rPr>
          <w:rFonts w:ascii="Arial" w:hAnsi="Arial" w:cs="Arial"/>
          <w:sz w:val="24"/>
          <w:szCs w:val="24"/>
        </w:rPr>
        <w:t>….</w:t>
      </w:r>
      <w:r w:rsidRPr="0024199E">
        <w:rPr>
          <w:rFonts w:ascii="Arial" w:hAnsi="Arial" w:cs="Arial"/>
          <w:sz w:val="24"/>
          <w:szCs w:val="24"/>
        </w:rPr>
        <w:tab/>
        <w:t>r.</w:t>
      </w:r>
      <w:r w:rsidR="00FB492F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744BBA3B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6E7608">
        <w:rPr>
          <w:rFonts w:ascii="Arial" w:hAnsi="Arial" w:cs="Arial"/>
          <w:b w:val="0"/>
          <w:bCs w:val="0"/>
          <w:sz w:val="24"/>
          <w:szCs w:val="24"/>
        </w:rPr>
        <w:t>3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6E7608">
        <w:rPr>
          <w:rFonts w:ascii="Arial" w:hAnsi="Arial" w:cs="Arial"/>
          <w:b w:val="0"/>
          <w:bCs w:val="0"/>
          <w:sz w:val="24"/>
          <w:szCs w:val="24"/>
        </w:rPr>
        <w:t>1605</w:t>
      </w:r>
      <w:r w:rsidR="00B31C2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31C28">
        <w:rPr>
          <w:rFonts w:ascii="Arial" w:hAnsi="Arial" w:cs="Arial"/>
          <w:b w:val="0"/>
          <w:bCs w:val="0"/>
          <w:sz w:val="24"/>
          <w:szCs w:val="24"/>
        </w:rPr>
        <w:br/>
        <w:t xml:space="preserve">ze zm.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) postępowania o udzielenie zamówienia w trybie podstawowym, o którym mowa </w:t>
      </w:r>
      <w:r w:rsidR="00B31C28">
        <w:rPr>
          <w:rFonts w:ascii="Arial" w:hAnsi="Arial" w:cs="Arial"/>
          <w:b w:val="0"/>
          <w:bCs w:val="0"/>
          <w:sz w:val="24"/>
          <w:szCs w:val="24"/>
        </w:rPr>
        <w:br/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79F26816" w:rsidR="007C4F4A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B35258" w:rsidRPr="0024199E">
        <w:rPr>
          <w:rFonts w:ascii="Arial" w:hAnsi="Arial" w:cs="Arial"/>
        </w:rPr>
        <w:t>powierza</w:t>
      </w:r>
      <w:r w:rsidRPr="0024199E">
        <w:rPr>
          <w:rFonts w:ascii="Arial" w:hAnsi="Arial" w:cs="Arial"/>
        </w:rPr>
        <w:t>, a Wykonawca zobowiązuje się do wykonania przedmiotu umowy</w:t>
      </w:r>
      <w:r w:rsidR="00EF0693" w:rsidRPr="0024199E">
        <w:rPr>
          <w:rFonts w:ascii="Arial" w:hAnsi="Arial" w:cs="Arial"/>
        </w:rPr>
        <w:t xml:space="preserve"> </w:t>
      </w:r>
      <w:r w:rsidR="00506F96">
        <w:rPr>
          <w:rFonts w:ascii="Arial" w:hAnsi="Arial" w:cs="Arial"/>
        </w:rPr>
        <w:t xml:space="preserve">pn. </w:t>
      </w:r>
      <w:r w:rsidR="006E7608" w:rsidRPr="006E7608">
        <w:rPr>
          <w:rFonts w:ascii="Arial" w:hAnsi="Arial" w:cs="Arial"/>
          <w:b/>
          <w:bCs/>
        </w:rPr>
        <w:t xml:space="preserve">Zakup węgla kamiennego i </w:t>
      </w:r>
      <w:proofErr w:type="spellStart"/>
      <w:r w:rsidR="006E7608" w:rsidRPr="006E7608">
        <w:rPr>
          <w:rFonts w:ascii="Arial" w:hAnsi="Arial" w:cs="Arial"/>
          <w:b/>
          <w:bCs/>
        </w:rPr>
        <w:t>ekogroszku</w:t>
      </w:r>
      <w:proofErr w:type="spellEnd"/>
      <w:r w:rsidR="006E7608" w:rsidRPr="006E7608">
        <w:rPr>
          <w:rFonts w:ascii="Arial" w:hAnsi="Arial" w:cs="Arial"/>
          <w:b/>
          <w:bCs/>
        </w:rPr>
        <w:t xml:space="preserve"> na potrzeby Gminy Przemęt w sezonie grzewczym 202</w:t>
      </w:r>
      <w:r w:rsidR="00331D93">
        <w:rPr>
          <w:rFonts w:ascii="Arial" w:hAnsi="Arial" w:cs="Arial"/>
          <w:b/>
          <w:bCs/>
        </w:rPr>
        <w:t>4</w:t>
      </w:r>
      <w:r w:rsidR="006E7608" w:rsidRPr="006E7608">
        <w:rPr>
          <w:rFonts w:ascii="Arial" w:hAnsi="Arial" w:cs="Arial"/>
          <w:b/>
          <w:bCs/>
        </w:rPr>
        <w:t>/202</w:t>
      </w:r>
      <w:r w:rsidR="00331D93">
        <w:rPr>
          <w:rFonts w:ascii="Arial" w:hAnsi="Arial" w:cs="Arial"/>
          <w:b/>
          <w:bCs/>
        </w:rPr>
        <w:t>5</w:t>
      </w:r>
      <w:r w:rsidR="00FA6FED">
        <w:rPr>
          <w:rFonts w:ascii="Arial" w:hAnsi="Arial" w:cs="Arial"/>
          <w:b/>
          <w:bCs/>
        </w:rPr>
        <w:t xml:space="preserve"> </w:t>
      </w:r>
      <w:r w:rsidR="00E963BC">
        <w:rPr>
          <w:rFonts w:ascii="Arial" w:hAnsi="Arial" w:cs="Arial"/>
          <w:b/>
          <w:bCs/>
        </w:rPr>
        <w:t>– część I</w:t>
      </w:r>
      <w:r w:rsidR="00506F96">
        <w:rPr>
          <w:rFonts w:ascii="Arial" w:hAnsi="Arial" w:cs="Arial"/>
        </w:rPr>
        <w:t xml:space="preserve"> </w:t>
      </w:r>
      <w:r w:rsidR="00EF0693" w:rsidRPr="0024199E">
        <w:rPr>
          <w:rFonts w:ascii="Arial" w:hAnsi="Arial" w:cs="Arial"/>
        </w:rPr>
        <w:t>obejmując</w:t>
      </w:r>
      <w:r w:rsidR="00021284" w:rsidRPr="0024199E">
        <w:rPr>
          <w:rFonts w:ascii="Arial" w:hAnsi="Arial" w:cs="Arial"/>
        </w:rPr>
        <w:t>ego</w:t>
      </w:r>
      <w:r w:rsidR="00EF0693" w:rsidRPr="0024199E">
        <w:rPr>
          <w:rFonts w:ascii="Arial" w:hAnsi="Arial" w:cs="Arial"/>
        </w:rPr>
        <w:t xml:space="preserve"> </w:t>
      </w:r>
      <w:r w:rsidR="0098580B">
        <w:rPr>
          <w:rFonts w:ascii="Arial" w:hAnsi="Arial" w:cs="Arial"/>
        </w:rPr>
        <w:t xml:space="preserve">jego </w:t>
      </w:r>
      <w:r w:rsidR="00506F96">
        <w:rPr>
          <w:rFonts w:ascii="Arial" w:hAnsi="Arial" w:cs="Arial"/>
        </w:rPr>
        <w:t xml:space="preserve">sukcesywną </w:t>
      </w:r>
      <w:r w:rsidR="00EF0693" w:rsidRPr="0024199E">
        <w:rPr>
          <w:rFonts w:ascii="Arial" w:hAnsi="Arial" w:cs="Arial"/>
        </w:rPr>
        <w:t xml:space="preserve">dostawę </w:t>
      </w:r>
      <w:r w:rsidR="00506F96">
        <w:rPr>
          <w:rFonts w:ascii="Arial" w:hAnsi="Arial" w:cs="Arial"/>
        </w:rPr>
        <w:t>wraz z rozładunkiem</w:t>
      </w:r>
      <w:r w:rsidR="0098580B">
        <w:rPr>
          <w:rFonts w:ascii="Arial" w:hAnsi="Arial" w:cs="Arial"/>
        </w:rPr>
        <w:t>.</w:t>
      </w:r>
    </w:p>
    <w:p w14:paraId="10582F12" w14:textId="292CFF93" w:rsidR="00506F96" w:rsidRDefault="00506F96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węgla kostki I gatunku oraz </w:t>
      </w:r>
      <w:proofErr w:type="spellStart"/>
      <w:r w:rsidRPr="00506F96">
        <w:rPr>
          <w:rFonts w:ascii="Arial" w:hAnsi="Arial" w:cs="Arial"/>
        </w:rPr>
        <w:t>ekogroszku</w:t>
      </w:r>
      <w:proofErr w:type="spellEnd"/>
      <w:r w:rsidRPr="00506F96">
        <w:rPr>
          <w:rFonts w:ascii="Arial" w:hAnsi="Arial" w:cs="Arial"/>
        </w:rPr>
        <w:t xml:space="preserve"> do poszczególnych budynków </w:t>
      </w:r>
      <w:r w:rsidRPr="006E7608">
        <w:rPr>
          <w:rFonts w:ascii="Arial" w:hAnsi="Arial" w:cs="Arial"/>
        </w:rPr>
        <w:t xml:space="preserve">w </w:t>
      </w:r>
      <w:r w:rsidR="006E7608" w:rsidRPr="006E7608">
        <w:rPr>
          <w:rFonts w:ascii="Arial" w:hAnsi="Arial" w:cs="Arial"/>
        </w:rPr>
        <w:t xml:space="preserve">sezonie grzewczym </w:t>
      </w:r>
      <w:r w:rsidR="00D4263A" w:rsidRPr="006E7608">
        <w:rPr>
          <w:rFonts w:ascii="Arial" w:hAnsi="Arial" w:cs="Arial"/>
        </w:rPr>
        <w:t>202</w:t>
      </w:r>
      <w:r w:rsidR="003C115E">
        <w:rPr>
          <w:rFonts w:ascii="Arial" w:hAnsi="Arial" w:cs="Arial"/>
        </w:rPr>
        <w:t>4</w:t>
      </w:r>
      <w:r w:rsidR="006E7608" w:rsidRPr="006E7608">
        <w:rPr>
          <w:rFonts w:ascii="Arial" w:hAnsi="Arial" w:cs="Arial"/>
        </w:rPr>
        <w:t>/202</w:t>
      </w:r>
      <w:r w:rsidR="003C115E">
        <w:rPr>
          <w:rFonts w:ascii="Arial" w:hAnsi="Arial" w:cs="Arial"/>
        </w:rPr>
        <w:t>5</w:t>
      </w:r>
      <w:r w:rsidR="00D4263A" w:rsidRPr="006E7608">
        <w:rPr>
          <w:rFonts w:ascii="Arial" w:hAnsi="Arial" w:cs="Arial"/>
        </w:rPr>
        <w:t xml:space="preserve"> </w:t>
      </w:r>
      <w:r w:rsidRPr="006E7608">
        <w:rPr>
          <w:rFonts w:ascii="Arial" w:hAnsi="Arial" w:cs="Arial"/>
        </w:rPr>
        <w:t>w następujących</w:t>
      </w:r>
      <w:r w:rsidR="0098580B" w:rsidRPr="006E7608">
        <w:rPr>
          <w:rFonts w:ascii="Arial" w:hAnsi="Arial" w:cs="Arial"/>
        </w:rPr>
        <w:t xml:space="preserve"> szacunkowych</w:t>
      </w:r>
      <w:r w:rsidRPr="006E7608">
        <w:rPr>
          <w:rFonts w:ascii="Arial" w:hAnsi="Arial" w:cs="Arial"/>
        </w:rPr>
        <w:t xml:space="preserve"> ilościach i terminach</w:t>
      </w:r>
      <w:r w:rsidRPr="0098580B">
        <w:rPr>
          <w:rFonts w:ascii="Arial" w:hAnsi="Arial" w:cs="Arial"/>
        </w:rPr>
        <w:t>:</w:t>
      </w:r>
    </w:p>
    <w:p w14:paraId="5CDBFC21" w14:textId="0D1D06E3" w:rsidR="00385D20" w:rsidRDefault="00385D20" w:rsidP="00385D2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Węgiel kamienny:</w:t>
      </w:r>
    </w:p>
    <w:tbl>
      <w:tblPr>
        <w:tblW w:w="910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1417"/>
        <w:gridCol w:w="1139"/>
        <w:gridCol w:w="1129"/>
        <w:gridCol w:w="1418"/>
        <w:gridCol w:w="1275"/>
      </w:tblGrid>
      <w:tr w:rsidR="00DC0876" w:rsidRPr="00AF5E4F" w14:paraId="65542294" w14:textId="77777777" w:rsidTr="00DC0876">
        <w:trPr>
          <w:trHeight w:val="19"/>
        </w:trPr>
        <w:tc>
          <w:tcPr>
            <w:tcW w:w="600" w:type="dxa"/>
            <w:vMerge w:val="restart"/>
            <w:shd w:val="clear" w:color="auto" w:fill="E7E6E6" w:themeFill="background2"/>
            <w:vAlign w:val="center"/>
          </w:tcPr>
          <w:p w14:paraId="11BCF95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vMerge w:val="restart"/>
            <w:shd w:val="clear" w:color="auto" w:fill="E7E6E6" w:themeFill="background2"/>
            <w:vAlign w:val="center"/>
          </w:tcPr>
          <w:p w14:paraId="19B5BD7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Miejsce dostawy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C336A8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20"/>
                <w:szCs w:val="20"/>
              </w:rPr>
              <w:t>Szacunkowa ilość węgla kamiennego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0B8AC27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Dostawy do dnia</w:t>
            </w:r>
          </w:p>
        </w:tc>
      </w:tr>
      <w:tr w:rsidR="00DC0876" w:rsidRPr="00AF5E4F" w14:paraId="2FA8D363" w14:textId="77777777" w:rsidTr="00DC0876">
        <w:trPr>
          <w:trHeight w:val="445"/>
        </w:trPr>
        <w:tc>
          <w:tcPr>
            <w:tcW w:w="600" w:type="dxa"/>
            <w:vMerge/>
            <w:shd w:val="clear" w:color="auto" w:fill="E7E6E6" w:themeFill="background2"/>
            <w:vAlign w:val="center"/>
          </w:tcPr>
          <w:p w14:paraId="67BF7A8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/>
            <w:shd w:val="clear" w:color="auto" w:fill="E7E6E6" w:themeFill="background2"/>
            <w:vAlign w:val="center"/>
          </w:tcPr>
          <w:p w14:paraId="37CD7DE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61645C2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62308F26" w14:textId="76C169FA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10.11.202</w:t>
            </w:r>
            <w:r w:rsidR="00E4743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7BF0811D" w14:textId="613BC4D3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20.12.202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4962D58" w14:textId="4C839839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01.02.202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05673E5" w14:textId="41F8D0A4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10.04.202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DC0876" w:rsidRPr="00AF5E4F" w14:paraId="1227E1E8" w14:textId="77777777" w:rsidTr="00DC0876">
        <w:trPr>
          <w:trHeight w:val="48"/>
        </w:trPr>
        <w:tc>
          <w:tcPr>
            <w:tcW w:w="600" w:type="dxa"/>
            <w:vAlign w:val="center"/>
          </w:tcPr>
          <w:p w14:paraId="7AC2437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09A34FE1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Urząd Gminy Przemęt, ul. Jagiellońska 8</w:t>
            </w:r>
          </w:p>
        </w:tc>
        <w:tc>
          <w:tcPr>
            <w:tcW w:w="1417" w:type="dxa"/>
            <w:vAlign w:val="center"/>
          </w:tcPr>
          <w:p w14:paraId="593C12D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20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AB094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29" w:type="dxa"/>
            <w:vAlign w:val="center"/>
          </w:tcPr>
          <w:p w14:paraId="6C9101A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A2BE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41A7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</w:tr>
      <w:tr w:rsidR="00DC0876" w:rsidRPr="00AF5E4F" w14:paraId="2888092D" w14:textId="77777777" w:rsidTr="00DC0876">
        <w:trPr>
          <w:trHeight w:val="358"/>
        </w:trPr>
        <w:tc>
          <w:tcPr>
            <w:tcW w:w="600" w:type="dxa"/>
            <w:vAlign w:val="center"/>
          </w:tcPr>
          <w:p w14:paraId="1F124E3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14:paraId="1C501C2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Budynek ZS Przemęt, ul. Powstańców Wlkp. 1</w:t>
            </w:r>
          </w:p>
        </w:tc>
        <w:tc>
          <w:tcPr>
            <w:tcW w:w="1417" w:type="dxa"/>
            <w:vAlign w:val="center"/>
          </w:tcPr>
          <w:p w14:paraId="4855D60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38 tony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00585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129" w:type="dxa"/>
            <w:vAlign w:val="center"/>
          </w:tcPr>
          <w:p w14:paraId="4849788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9 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220C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103B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9 ton</w:t>
            </w:r>
          </w:p>
        </w:tc>
      </w:tr>
      <w:tr w:rsidR="00DC0876" w:rsidRPr="00AF5E4F" w14:paraId="7A889608" w14:textId="77777777" w:rsidTr="00DC0876">
        <w:trPr>
          <w:trHeight w:val="19"/>
        </w:trPr>
        <w:tc>
          <w:tcPr>
            <w:tcW w:w="600" w:type="dxa"/>
            <w:vAlign w:val="center"/>
          </w:tcPr>
          <w:p w14:paraId="05D4D5B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14:paraId="5116D90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OSP Przemęt, ul. Powstańców Wlkp. 9</w:t>
            </w:r>
          </w:p>
        </w:tc>
        <w:tc>
          <w:tcPr>
            <w:tcW w:w="1417" w:type="dxa"/>
            <w:vAlign w:val="center"/>
          </w:tcPr>
          <w:p w14:paraId="74914A7E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   12 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E3B94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129" w:type="dxa"/>
            <w:vAlign w:val="center"/>
          </w:tcPr>
          <w:p w14:paraId="2F4711F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 tony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9D7C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8927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 tony</w:t>
            </w:r>
          </w:p>
        </w:tc>
      </w:tr>
      <w:tr w:rsidR="00DC0876" w:rsidRPr="00AF5E4F" w14:paraId="3548F16F" w14:textId="77777777" w:rsidTr="00DC0876">
        <w:trPr>
          <w:trHeight w:val="19"/>
        </w:trPr>
        <w:tc>
          <w:tcPr>
            <w:tcW w:w="600" w:type="dxa"/>
            <w:vAlign w:val="center"/>
          </w:tcPr>
          <w:p w14:paraId="64F09BD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4.</w:t>
            </w:r>
          </w:p>
        </w:tc>
        <w:tc>
          <w:tcPr>
            <w:tcW w:w="2127" w:type="dxa"/>
            <w:vAlign w:val="center"/>
          </w:tcPr>
          <w:p w14:paraId="7D96F5A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>Mochy, ul. Polna 1</w:t>
            </w:r>
          </w:p>
        </w:tc>
        <w:tc>
          <w:tcPr>
            <w:tcW w:w="1417" w:type="dxa"/>
            <w:vAlign w:val="center"/>
          </w:tcPr>
          <w:p w14:paraId="235AAEC8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 xml:space="preserve">42 ton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F0019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129" w:type="dxa"/>
            <w:vAlign w:val="center"/>
          </w:tcPr>
          <w:p w14:paraId="5A7A4DB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11 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3EDA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11 ton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0CB6D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</w:tr>
      <w:tr w:rsidR="00DC0876" w:rsidRPr="00AF5E4F" w14:paraId="3D8B20C7" w14:textId="77777777" w:rsidTr="00DC0876">
        <w:trPr>
          <w:trHeight w:val="20"/>
        </w:trPr>
        <w:tc>
          <w:tcPr>
            <w:tcW w:w="600" w:type="dxa"/>
          </w:tcPr>
          <w:p w14:paraId="4A630B30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4B0FE70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</w:tcPr>
          <w:p w14:paraId="251DEBE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112 ton</w:t>
            </w:r>
          </w:p>
        </w:tc>
        <w:tc>
          <w:tcPr>
            <w:tcW w:w="1139" w:type="dxa"/>
            <w:shd w:val="clear" w:color="auto" w:fill="auto"/>
          </w:tcPr>
          <w:p w14:paraId="07EFAEE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27 ton</w:t>
            </w:r>
          </w:p>
        </w:tc>
        <w:tc>
          <w:tcPr>
            <w:tcW w:w="1129" w:type="dxa"/>
          </w:tcPr>
          <w:p w14:paraId="111566F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29 ton</w:t>
            </w:r>
          </w:p>
        </w:tc>
        <w:tc>
          <w:tcPr>
            <w:tcW w:w="1418" w:type="dxa"/>
            <w:shd w:val="clear" w:color="auto" w:fill="auto"/>
          </w:tcPr>
          <w:p w14:paraId="7D1B575C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28 ton</w:t>
            </w:r>
          </w:p>
        </w:tc>
        <w:tc>
          <w:tcPr>
            <w:tcW w:w="1275" w:type="dxa"/>
            <w:shd w:val="clear" w:color="auto" w:fill="auto"/>
          </w:tcPr>
          <w:p w14:paraId="1CF3518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28 ton</w:t>
            </w:r>
          </w:p>
        </w:tc>
      </w:tr>
    </w:tbl>
    <w:p w14:paraId="7F8C1775" w14:textId="77777777" w:rsidR="00385D20" w:rsidRDefault="00385D20" w:rsidP="004B3316">
      <w:pPr>
        <w:autoSpaceDE w:val="0"/>
        <w:autoSpaceDN w:val="0"/>
        <w:adjustRightInd w:val="0"/>
        <w:rPr>
          <w:rFonts w:ascii="Arial" w:hAnsi="Arial" w:cs="Arial"/>
        </w:rPr>
      </w:pPr>
    </w:p>
    <w:p w14:paraId="15CB26F0" w14:textId="77777777" w:rsidR="004B3316" w:rsidRPr="004B3316" w:rsidRDefault="004B3316" w:rsidP="004B3316">
      <w:pPr>
        <w:autoSpaceDE w:val="0"/>
        <w:autoSpaceDN w:val="0"/>
        <w:adjustRightInd w:val="0"/>
        <w:rPr>
          <w:rFonts w:ascii="Arial" w:hAnsi="Arial" w:cs="Arial"/>
        </w:rPr>
      </w:pPr>
    </w:p>
    <w:p w14:paraId="14E1B596" w14:textId="33FDEA08" w:rsidR="0098580B" w:rsidRDefault="00385D20" w:rsidP="00DC0876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Ekogroszek</w:t>
      </w:r>
      <w:proofErr w:type="spellEnd"/>
      <w:r>
        <w:rPr>
          <w:rFonts w:ascii="Arial" w:hAnsi="Arial" w:cs="Arial"/>
        </w:rPr>
        <w:t>:</w:t>
      </w:r>
    </w:p>
    <w:tbl>
      <w:tblPr>
        <w:tblW w:w="941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54"/>
        <w:gridCol w:w="1842"/>
        <w:gridCol w:w="1276"/>
        <w:gridCol w:w="1134"/>
        <w:gridCol w:w="1134"/>
        <w:gridCol w:w="1134"/>
      </w:tblGrid>
      <w:tr w:rsidR="00DC0876" w:rsidRPr="00AF5E4F" w14:paraId="23E062D0" w14:textId="77777777" w:rsidTr="00DC0876">
        <w:trPr>
          <w:trHeight w:val="19"/>
        </w:trPr>
        <w:tc>
          <w:tcPr>
            <w:tcW w:w="541" w:type="dxa"/>
            <w:vMerge w:val="restart"/>
            <w:shd w:val="clear" w:color="auto" w:fill="E7E6E6" w:themeFill="background2"/>
            <w:vAlign w:val="center"/>
          </w:tcPr>
          <w:p w14:paraId="2F081544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54" w:type="dxa"/>
            <w:vMerge w:val="restart"/>
            <w:shd w:val="clear" w:color="auto" w:fill="E7E6E6" w:themeFill="background2"/>
            <w:vAlign w:val="center"/>
          </w:tcPr>
          <w:p w14:paraId="64249BCE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Miejsce dostawy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6B7A2053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  <w:sz w:val="20"/>
                <w:szCs w:val="20"/>
              </w:rPr>
              <w:t xml:space="preserve">Szacunkowa ilość węgla </w:t>
            </w:r>
            <w:proofErr w:type="spellStart"/>
            <w:r w:rsidRPr="00485B5E">
              <w:rPr>
                <w:rFonts w:ascii="Arial" w:hAnsi="Arial" w:cs="Arial"/>
                <w:b/>
                <w:sz w:val="20"/>
                <w:szCs w:val="20"/>
              </w:rPr>
              <w:t>ekogroszku</w:t>
            </w:r>
            <w:proofErr w:type="spellEnd"/>
          </w:p>
        </w:tc>
        <w:tc>
          <w:tcPr>
            <w:tcW w:w="4678" w:type="dxa"/>
            <w:gridSpan w:val="4"/>
            <w:shd w:val="clear" w:color="auto" w:fill="E7E6E6" w:themeFill="background2"/>
            <w:vAlign w:val="center"/>
          </w:tcPr>
          <w:p w14:paraId="4736FEF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Dostawy do dnia</w:t>
            </w:r>
          </w:p>
        </w:tc>
      </w:tr>
      <w:tr w:rsidR="00DC0876" w:rsidRPr="00AF5E4F" w14:paraId="49130AE3" w14:textId="77777777" w:rsidTr="00DC0876">
        <w:trPr>
          <w:trHeight w:val="19"/>
        </w:trPr>
        <w:tc>
          <w:tcPr>
            <w:tcW w:w="541" w:type="dxa"/>
            <w:vMerge/>
            <w:shd w:val="clear" w:color="auto" w:fill="E7E6E6" w:themeFill="background2"/>
            <w:vAlign w:val="center"/>
          </w:tcPr>
          <w:p w14:paraId="723B7C8F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vMerge/>
            <w:shd w:val="clear" w:color="auto" w:fill="E7E6E6" w:themeFill="background2"/>
            <w:vAlign w:val="center"/>
          </w:tcPr>
          <w:p w14:paraId="6F26603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  <w:vAlign w:val="center"/>
          </w:tcPr>
          <w:p w14:paraId="2E4668A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E2A0245" w14:textId="70F2F960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10.11.202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A5F9F8" w14:textId="5A190290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20.12.202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735DF5" w14:textId="47F92FD4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01.02.202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E8690E" w14:textId="23ABE1B1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B5E">
              <w:rPr>
                <w:rFonts w:ascii="Arial" w:hAnsi="Arial" w:cs="Arial"/>
                <w:b/>
                <w:sz w:val="18"/>
                <w:szCs w:val="18"/>
              </w:rPr>
              <w:t>10.04.202</w:t>
            </w:r>
            <w:r w:rsidR="003C115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DC0876" w:rsidRPr="00AF5E4F" w14:paraId="3CE3DAA2" w14:textId="77777777" w:rsidTr="00DC0876">
        <w:trPr>
          <w:trHeight w:val="19"/>
        </w:trPr>
        <w:tc>
          <w:tcPr>
            <w:tcW w:w="541" w:type="dxa"/>
            <w:vAlign w:val="center"/>
          </w:tcPr>
          <w:p w14:paraId="7A95874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1.</w:t>
            </w:r>
          </w:p>
        </w:tc>
        <w:tc>
          <w:tcPr>
            <w:tcW w:w="2354" w:type="dxa"/>
            <w:vAlign w:val="center"/>
          </w:tcPr>
          <w:p w14:paraId="557355F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 xml:space="preserve">Budynek biblioteka w Buczu, ul. Kasztanowa </w:t>
            </w:r>
          </w:p>
        </w:tc>
        <w:tc>
          <w:tcPr>
            <w:tcW w:w="1842" w:type="dxa"/>
            <w:vAlign w:val="center"/>
          </w:tcPr>
          <w:p w14:paraId="44B6580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20 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BAFD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6179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A3B7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C9599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5 ton</w:t>
            </w:r>
          </w:p>
        </w:tc>
      </w:tr>
      <w:tr w:rsidR="00DC0876" w:rsidRPr="00AF5E4F" w14:paraId="6444C56A" w14:textId="77777777" w:rsidTr="00DC0876">
        <w:trPr>
          <w:trHeight w:val="19"/>
        </w:trPr>
        <w:tc>
          <w:tcPr>
            <w:tcW w:w="541" w:type="dxa"/>
            <w:vAlign w:val="center"/>
          </w:tcPr>
          <w:p w14:paraId="0C4760B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2.</w:t>
            </w:r>
          </w:p>
        </w:tc>
        <w:tc>
          <w:tcPr>
            <w:tcW w:w="2354" w:type="dxa"/>
            <w:vAlign w:val="center"/>
          </w:tcPr>
          <w:p w14:paraId="2955A9C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5E">
              <w:rPr>
                <w:rFonts w:ascii="Arial" w:hAnsi="Arial" w:cs="Arial"/>
                <w:sz w:val="20"/>
                <w:szCs w:val="20"/>
              </w:rPr>
              <w:t xml:space="preserve">Budynek przedszkola Bucz, ul.  Akacjowa </w:t>
            </w:r>
          </w:p>
        </w:tc>
        <w:tc>
          <w:tcPr>
            <w:tcW w:w="1842" w:type="dxa"/>
            <w:vAlign w:val="center"/>
          </w:tcPr>
          <w:p w14:paraId="565F806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10 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DB6FA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>2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15A33" w14:textId="31C1CB0E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</w:t>
            </w:r>
            <w:r w:rsidR="003C115E">
              <w:rPr>
                <w:rFonts w:ascii="Arial" w:hAnsi="Arial" w:cs="Arial"/>
              </w:rPr>
              <w:t>4</w:t>
            </w:r>
            <w:r w:rsidRPr="00485B5E">
              <w:rPr>
                <w:rFonts w:ascii="Arial" w:hAnsi="Arial" w:cs="Arial"/>
              </w:rPr>
              <w:t xml:space="preserve">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E5E60" w14:textId="0AB2DB0D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5B5E">
              <w:rPr>
                <w:rFonts w:ascii="Arial" w:hAnsi="Arial" w:cs="Arial"/>
              </w:rPr>
              <w:t xml:space="preserve">  2 tony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7487D" w14:textId="4DFB9DF3" w:rsidR="00DC0876" w:rsidRPr="00485B5E" w:rsidRDefault="003C115E" w:rsidP="00D210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  <w:r w:rsidR="00DC0876" w:rsidRPr="00485B5E">
              <w:rPr>
                <w:rFonts w:ascii="Arial" w:hAnsi="Arial" w:cs="Arial"/>
              </w:rPr>
              <w:t xml:space="preserve"> tony</w:t>
            </w:r>
          </w:p>
        </w:tc>
      </w:tr>
      <w:tr w:rsidR="00DC0876" w:rsidRPr="00AF5E4F" w14:paraId="67C1A1A3" w14:textId="77777777" w:rsidTr="00DC0876">
        <w:trPr>
          <w:trHeight w:val="21"/>
        </w:trPr>
        <w:tc>
          <w:tcPr>
            <w:tcW w:w="541" w:type="dxa"/>
            <w:vAlign w:val="center"/>
          </w:tcPr>
          <w:p w14:paraId="3D5663D3" w14:textId="77777777" w:rsidR="00DC0876" w:rsidRPr="00485B5E" w:rsidRDefault="00DC0876" w:rsidP="00D2109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vAlign w:val="center"/>
          </w:tcPr>
          <w:p w14:paraId="36407A35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5B5E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14:paraId="629D13F3" w14:textId="13C28182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85B5E">
              <w:rPr>
                <w:rFonts w:ascii="Arial" w:hAnsi="Arial" w:cs="Arial"/>
                <w:b/>
              </w:rPr>
              <w:t>3</w:t>
            </w:r>
            <w:r w:rsidR="003C115E">
              <w:rPr>
                <w:rFonts w:ascii="Arial" w:hAnsi="Arial" w:cs="Arial"/>
                <w:b/>
              </w:rPr>
              <w:t>2</w:t>
            </w:r>
            <w:r w:rsidRPr="00485B5E">
              <w:rPr>
                <w:rFonts w:ascii="Arial" w:hAnsi="Arial" w:cs="Arial"/>
                <w:b/>
              </w:rPr>
              <w:t xml:space="preserve"> tony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432B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7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A60E" w14:textId="1F3928C1" w:rsidR="00DC0876" w:rsidRPr="00485B5E" w:rsidRDefault="003C115E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DC0876" w:rsidRPr="00485B5E">
              <w:rPr>
                <w:rFonts w:ascii="Arial" w:hAnsi="Arial" w:cs="Arial"/>
                <w:bCs/>
              </w:rPr>
              <w:t xml:space="preserve">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35456" w14:textId="77777777" w:rsidR="00DC0876" w:rsidRPr="00485B5E" w:rsidRDefault="00DC0876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85B5E">
              <w:rPr>
                <w:rFonts w:ascii="Arial" w:hAnsi="Arial" w:cs="Arial"/>
                <w:bCs/>
              </w:rPr>
              <w:t>7 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71447" w14:textId="37CB606E" w:rsidR="00DC0876" w:rsidRPr="00485B5E" w:rsidRDefault="003C115E" w:rsidP="00D2109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DC0876" w:rsidRPr="00485B5E">
              <w:rPr>
                <w:rFonts w:ascii="Arial" w:hAnsi="Arial" w:cs="Arial"/>
                <w:bCs/>
              </w:rPr>
              <w:t xml:space="preserve"> ton</w:t>
            </w:r>
          </w:p>
        </w:tc>
      </w:tr>
    </w:tbl>
    <w:p w14:paraId="5B78FB99" w14:textId="77777777" w:rsidR="0098580B" w:rsidRPr="0098580B" w:rsidRDefault="0098580B" w:rsidP="0098580B">
      <w:pPr>
        <w:autoSpaceDE w:val="0"/>
        <w:autoSpaceDN w:val="0"/>
        <w:adjustRightInd w:val="0"/>
        <w:rPr>
          <w:rFonts w:ascii="Arial" w:hAnsi="Arial" w:cs="Arial"/>
        </w:rPr>
      </w:pPr>
    </w:p>
    <w:p w14:paraId="7FED50D2" w14:textId="77777777" w:rsidR="00E772AC" w:rsidRPr="00E772AC" w:rsidRDefault="0098580B" w:rsidP="00E772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5DFE4D6E" w:rsidR="001B382B" w:rsidRPr="00E772AC" w:rsidRDefault="001B382B" w:rsidP="00E772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  <w:color w:val="FF0000"/>
        </w:rPr>
      </w:pPr>
      <w:r w:rsidRPr="00E772AC">
        <w:rPr>
          <w:rFonts w:ascii="Arial" w:hAnsi="Arial" w:cs="Arial"/>
        </w:rPr>
        <w:t xml:space="preserve">Integralną część niniejszej umowy stanowi również oferta Wykonawcy </w:t>
      </w:r>
      <w:r w:rsidR="00803F6B" w:rsidRPr="00E772AC">
        <w:rPr>
          <w:rFonts w:ascii="Arial" w:hAnsi="Arial" w:cs="Arial"/>
        </w:rPr>
        <w:br/>
      </w:r>
      <w:r w:rsidRPr="00E772AC">
        <w:rPr>
          <w:rFonts w:ascii="Arial" w:hAnsi="Arial" w:cs="Arial"/>
        </w:rPr>
        <w:t>z załącznikami.</w:t>
      </w:r>
    </w:p>
    <w:p w14:paraId="27C1A79D" w14:textId="6AB588AD" w:rsidR="001B382B" w:rsidRDefault="001B382B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2AC996FF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Zamawiający, informuje, że jest podmiotem korzystającym ze zwolnienia akcyzy na podstawie art. 31a ustawy z dnia 06 grudnia 2008 r. o podatku akcyzowym (Dz.</w:t>
      </w:r>
      <w:r w:rsidR="006E7608"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 xml:space="preserve">U. </w:t>
      </w:r>
      <w:r w:rsidR="006E7608">
        <w:rPr>
          <w:rFonts w:ascii="Arial" w:hAnsi="Arial" w:cs="Arial"/>
        </w:rPr>
        <w:t xml:space="preserve">z </w:t>
      </w:r>
      <w:r w:rsidR="006E7608" w:rsidRPr="006E7608">
        <w:rPr>
          <w:rFonts w:ascii="Arial" w:hAnsi="Arial" w:cs="Arial"/>
        </w:rPr>
        <w:t>2023 r., poz. 1542</w:t>
      </w:r>
      <w:r w:rsidRPr="00FF0E29">
        <w:rPr>
          <w:rFonts w:ascii="Arial" w:hAnsi="Arial" w:cs="Arial"/>
        </w:rPr>
        <w:t>).</w:t>
      </w:r>
    </w:p>
    <w:p w14:paraId="7E6B0F11" w14:textId="77777777" w:rsidR="00A77D92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01B1F385" w14:textId="74580142" w:rsidR="00AE6A35" w:rsidRPr="005212C6" w:rsidRDefault="00A77D92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212C6">
        <w:rPr>
          <w:rFonts w:ascii="Arial" w:hAnsi="Arial" w:cs="Arial"/>
        </w:rPr>
        <w:t xml:space="preserve">Zamawiający zastrzega sobie prawo ograniczenia zakresu zamówienia poprzez zmniejszenie ilości dostarczanego przedmiotu umowy, określając, że minimalna wielkość zamówienia, o którym mowa w ust. 2 wynosi: dla </w:t>
      </w:r>
      <w:r w:rsidRPr="006D09FC">
        <w:rPr>
          <w:rFonts w:ascii="Arial" w:hAnsi="Arial" w:cs="Arial"/>
        </w:rPr>
        <w:t xml:space="preserve">węgla kamiennego – </w:t>
      </w:r>
      <w:r w:rsidR="006D09FC" w:rsidRPr="006D09FC">
        <w:rPr>
          <w:rFonts w:ascii="Arial" w:hAnsi="Arial" w:cs="Arial"/>
        </w:rPr>
        <w:t>80</w:t>
      </w:r>
      <w:r w:rsidRPr="006D09FC">
        <w:rPr>
          <w:rFonts w:ascii="Arial" w:hAnsi="Arial" w:cs="Arial"/>
        </w:rPr>
        <w:t xml:space="preserve"> ton, dla </w:t>
      </w:r>
      <w:proofErr w:type="spellStart"/>
      <w:r w:rsidRPr="006D09FC">
        <w:rPr>
          <w:rFonts w:ascii="Arial" w:hAnsi="Arial" w:cs="Arial"/>
        </w:rPr>
        <w:t>ekogroszku</w:t>
      </w:r>
      <w:proofErr w:type="spellEnd"/>
      <w:r w:rsidRPr="006D09FC">
        <w:rPr>
          <w:rFonts w:ascii="Arial" w:hAnsi="Arial" w:cs="Arial"/>
        </w:rPr>
        <w:t xml:space="preserve"> – </w:t>
      </w:r>
      <w:r w:rsidR="006D09FC" w:rsidRPr="006D09FC">
        <w:rPr>
          <w:rFonts w:ascii="Arial" w:hAnsi="Arial" w:cs="Arial"/>
        </w:rPr>
        <w:t>2</w:t>
      </w:r>
      <w:r w:rsidR="00E22373">
        <w:rPr>
          <w:rFonts w:ascii="Arial" w:hAnsi="Arial" w:cs="Arial"/>
        </w:rPr>
        <w:t>1</w:t>
      </w:r>
      <w:r w:rsidRPr="006D09FC">
        <w:rPr>
          <w:rFonts w:ascii="Arial" w:hAnsi="Arial" w:cs="Arial"/>
        </w:rPr>
        <w:t xml:space="preserve"> ton</w:t>
      </w:r>
      <w:r w:rsidR="00DF2B78">
        <w:rPr>
          <w:rFonts w:ascii="Arial" w:hAnsi="Arial" w:cs="Arial"/>
        </w:rPr>
        <w:t>y</w:t>
      </w:r>
      <w:r w:rsidRPr="006D09FC">
        <w:rPr>
          <w:rFonts w:ascii="Arial" w:hAnsi="Arial" w:cs="Arial"/>
        </w:rPr>
        <w:t>.</w:t>
      </w:r>
      <w:r w:rsidRPr="005212C6">
        <w:rPr>
          <w:rFonts w:ascii="Arial" w:hAnsi="Arial" w:cs="Arial"/>
        </w:rPr>
        <w:t xml:space="preserve"> W przypadku zmniejszenia zakresu świadczenia wynagrodzenie Wykonawcy będzie proporcjonalnie zmniejszone stosownie do ilości dostarczonego przedmiotu umowy.</w:t>
      </w:r>
      <w:r w:rsidR="00DC6F58">
        <w:rPr>
          <w:rFonts w:ascii="Arial" w:hAnsi="Arial" w:cs="Arial"/>
        </w:rPr>
        <w:t xml:space="preserve"> Zamawiający poinformuje o ogranicz</w:t>
      </w:r>
      <w:r w:rsidR="000D3CBD">
        <w:rPr>
          <w:rFonts w:ascii="Arial" w:hAnsi="Arial" w:cs="Arial"/>
        </w:rPr>
        <w:t>eniu zakresu</w:t>
      </w:r>
      <w:r w:rsidR="00762406">
        <w:rPr>
          <w:rFonts w:ascii="Arial" w:hAnsi="Arial" w:cs="Arial"/>
        </w:rPr>
        <w:t xml:space="preserve"> zamówienia Wykonawcę. 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 w:rsidP="00AC78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72B79C3D" w:rsidR="00FD7EC8" w:rsidRDefault="001B382B" w:rsidP="00AC78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8C04F6">
        <w:rPr>
          <w:rFonts w:ascii="Arial" w:hAnsi="Arial" w:cs="Arial"/>
          <w:b/>
          <w:bCs/>
        </w:rPr>
        <w:t>8</w:t>
      </w:r>
      <w:r w:rsidR="00EE19C7" w:rsidRPr="006E7608">
        <w:rPr>
          <w:rFonts w:ascii="Arial" w:hAnsi="Arial" w:cs="Arial"/>
          <w:b/>
          <w:bCs/>
        </w:rPr>
        <w:t xml:space="preserve"> miesi</w:t>
      </w:r>
      <w:r w:rsidR="009D4473" w:rsidRPr="006E7608">
        <w:rPr>
          <w:rFonts w:ascii="Arial" w:hAnsi="Arial" w:cs="Arial"/>
          <w:b/>
          <w:bCs/>
        </w:rPr>
        <w:t>ęcy</w:t>
      </w:r>
      <w:r w:rsidR="00EE19C7">
        <w:rPr>
          <w:rFonts w:ascii="Arial" w:hAnsi="Arial" w:cs="Arial"/>
          <w:b/>
          <w:bCs/>
        </w:rPr>
        <w:t xml:space="preserve"> </w:t>
      </w:r>
      <w:r w:rsidR="00E963BC">
        <w:rPr>
          <w:rFonts w:ascii="Arial" w:hAnsi="Arial" w:cs="Arial"/>
          <w:b/>
          <w:bCs/>
        </w:rPr>
        <w:t>od</w:t>
      </w:r>
      <w:r w:rsidR="00EE19C7">
        <w:rPr>
          <w:rFonts w:ascii="Arial" w:hAnsi="Arial" w:cs="Arial"/>
          <w:b/>
          <w:bCs/>
        </w:rPr>
        <w:t xml:space="preserve"> dnia podpisania umowy.</w:t>
      </w:r>
    </w:p>
    <w:p w14:paraId="54BCAE2A" w14:textId="04C16284" w:rsidR="006B1215" w:rsidRPr="006B1215" w:rsidRDefault="006B1215" w:rsidP="00AC78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do poszczególnych miejsc dostaw wskazanych </w:t>
      </w:r>
      <w:r>
        <w:rPr>
          <w:rFonts w:ascii="Arial" w:hAnsi="Arial" w:cs="Arial"/>
        </w:rPr>
        <w:t xml:space="preserve">w </w:t>
      </w:r>
      <w:r w:rsidRPr="006B1215">
        <w:rPr>
          <w:rFonts w:ascii="Arial" w:hAnsi="Arial" w:cs="Arial"/>
        </w:rPr>
        <w:t xml:space="preserve">§ </w:t>
      </w:r>
      <w:r w:rsidR="00613AE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ust. 2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 w:rsidP="00AC7895">
      <w:pPr>
        <w:pStyle w:val="Akapitzlist"/>
        <w:numPr>
          <w:ilvl w:val="0"/>
          <w:numId w:val="19"/>
        </w:numPr>
        <w:spacing w:after="0" w:line="276" w:lineRule="auto"/>
        <w:ind w:left="714" w:right="96" w:hanging="357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3A934521" w14:textId="521ED5F5" w:rsidR="006B1215" w:rsidRPr="006B1215" w:rsidRDefault="006B1215" w:rsidP="00AC7895">
      <w:pPr>
        <w:pStyle w:val="Akapitzlist"/>
        <w:numPr>
          <w:ilvl w:val="0"/>
          <w:numId w:val="19"/>
        </w:numPr>
        <w:spacing w:after="0" w:line="276" w:lineRule="auto"/>
        <w:ind w:left="714" w:right="96" w:hanging="357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15921F52" w14:textId="77777777" w:rsidR="00C0660A" w:rsidRPr="0024199E" w:rsidRDefault="00C0660A" w:rsidP="00AC7895">
      <w:pPr>
        <w:pStyle w:val="Tekstpodstawowy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81FAED" w14:textId="77777777" w:rsidR="00FB492F" w:rsidRDefault="00FB492F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</w:p>
    <w:p w14:paraId="21C84716" w14:textId="385FEFDE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6FA94588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Wykonawca do każdej dostawy opału dostarczy aktualne świadectwo jakości dostarczonej partii węgla,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oraz ewentualne inne dokumenty wymagane prawem. Brak dokumentów będzie stanowić dla Zamawiającego podstawę do odmowy przyjęcia danej partii węgla. Taki przypadek będzie traktowany jak niedostarczenie pa</w:t>
      </w:r>
      <w:r w:rsidR="0097766E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64B0D2C0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poddania kontroli dostarczonego przedmiotu zamówienia w celu sprawdzenia zgodności dostarczanego węgla z parametrami określonymi w SWZ. W przypadku nie</w:t>
      </w:r>
      <w:r w:rsidR="0097766E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6E91FC8B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wilgoci, spiekalności, siarki – wszystkich parametrów wyszczególnionych w SWZ.</w:t>
      </w:r>
    </w:p>
    <w:p w14:paraId="243AFCE6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Cena jednostkowa winna zawierać wszystkie koszty niezbędne i potrzebne do wykonania zadania.</w:t>
      </w:r>
    </w:p>
    <w:p w14:paraId="3D0546D4" w14:textId="625E55F9" w:rsidR="00D150AD" w:rsidRPr="001759A0" w:rsidRDefault="00A428C2" w:rsidP="001759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02A5D561" w:rsidR="001739CE" w:rsidRPr="001739CE" w:rsidRDefault="001B382B">
      <w:pPr>
        <w:pStyle w:val="Tekstpodstawowy"/>
        <w:numPr>
          <w:ilvl w:val="0"/>
          <w:numId w:val="2"/>
        </w:numPr>
        <w:shd w:val="clear" w:color="auto" w:fill="auto"/>
        <w:tabs>
          <w:tab w:val="left" w:pos="331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ustalają</w:t>
      </w:r>
      <w:r w:rsidR="00FA6FED">
        <w:rPr>
          <w:rFonts w:ascii="Arial" w:hAnsi="Arial" w:cs="Arial"/>
          <w:sz w:val="24"/>
          <w:szCs w:val="24"/>
        </w:rPr>
        <w:t>,</w:t>
      </w:r>
      <w:r w:rsidRPr="0024199E">
        <w:rPr>
          <w:rFonts w:ascii="Arial" w:hAnsi="Arial" w:cs="Arial"/>
          <w:sz w:val="24"/>
          <w:szCs w:val="24"/>
        </w:rPr>
        <w:t xml:space="preserve">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1739CE" w:rsidRPr="001739CE">
        <w:rPr>
          <w:rFonts w:ascii="Arial" w:hAnsi="Arial" w:cs="Arial"/>
          <w:sz w:val="24"/>
          <w:szCs w:val="24"/>
        </w:rPr>
        <w:t xml:space="preserve"> 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3F645615" w14:textId="1B668641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Węgiel kamienny:</w:t>
      </w:r>
    </w:p>
    <w:p w14:paraId="46F85D45" w14:textId="05875B81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…………</w:t>
      </w:r>
      <w:r w:rsidR="00FE7DFF">
        <w:rPr>
          <w:rFonts w:ascii="Arial" w:hAnsi="Arial" w:cs="Arial"/>
          <w:sz w:val="24"/>
          <w:szCs w:val="24"/>
        </w:rPr>
        <w:t>.</w:t>
      </w:r>
      <w:r w:rsidRPr="001739CE">
        <w:rPr>
          <w:rFonts w:ascii="Arial" w:hAnsi="Arial" w:cs="Arial"/>
          <w:sz w:val="24"/>
          <w:szCs w:val="24"/>
        </w:rPr>
        <w:t xml:space="preserve">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58152239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3DCECCB5" w14:textId="77777777" w:rsidR="001759A0" w:rsidRDefault="001759A0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p w14:paraId="2BE522C9" w14:textId="13A53A4F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Ekogroszek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07452B6" w14:textId="77777777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736A714A" w14:textId="44BA942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1394C9CF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194810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97766E">
        <w:rPr>
          <w:rFonts w:ascii="Arial" w:hAnsi="Arial" w:cs="Arial"/>
          <w:sz w:val="24"/>
          <w:szCs w:val="24"/>
        </w:rPr>
        <w:t>, w terminie 14 dni</w:t>
      </w:r>
      <w:r w:rsidR="007F4F60">
        <w:rPr>
          <w:rFonts w:ascii="Arial" w:hAnsi="Arial" w:cs="Arial"/>
          <w:sz w:val="24"/>
          <w:szCs w:val="24"/>
        </w:rPr>
        <w:t xml:space="preserve"> od dnia doręczenia faktury </w:t>
      </w:r>
      <w:r w:rsidR="00AC1F55">
        <w:rPr>
          <w:rFonts w:ascii="Arial" w:hAnsi="Arial" w:cs="Arial"/>
          <w:sz w:val="24"/>
          <w:szCs w:val="24"/>
        </w:rPr>
        <w:t>Zamawiającemu</w:t>
      </w:r>
      <w:r w:rsidR="007F4F60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0296B164" w:rsidR="003B3873" w:rsidRPr="0024199E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647EEF9C" w:rsidR="00681548" w:rsidRDefault="00385D20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 w:rsidR="00613AEB">
        <w:rPr>
          <w:rFonts w:ascii="Arial" w:hAnsi="Arial" w:cs="Arial"/>
          <w:sz w:val="24"/>
          <w:szCs w:val="24"/>
        </w:rPr>
        <w:t>4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0A7FCE93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</w:t>
      </w:r>
      <w:r w:rsidR="00613A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ust. </w:t>
      </w:r>
      <w:r w:rsidR="00613A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lastRenderedPageBreak/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00ECD2E4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4356F469" w:rsidR="00F971FA" w:rsidRPr="0088363C" w:rsidRDefault="00416720" w:rsidP="0088363C">
      <w:pPr>
        <w:pStyle w:val="Akapitzlist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b/>
          <w:bCs/>
        </w:rPr>
      </w:pPr>
      <w:r w:rsidRPr="0088363C">
        <w:rPr>
          <w:rFonts w:ascii="Arial" w:hAnsi="Arial" w:cs="Arial"/>
          <w:b/>
          <w:bCs/>
        </w:rPr>
        <w:t xml:space="preserve"> </w:t>
      </w:r>
      <w:r w:rsidR="00F971FA" w:rsidRPr="0088363C">
        <w:rPr>
          <w:rFonts w:ascii="Arial" w:hAnsi="Arial" w:cs="Arial"/>
          <w:b/>
          <w:bCs/>
        </w:rPr>
        <w:t>Zmiana sposobu i zakresu wykonywania przedmiotu umowy w następującym przypadku:</w:t>
      </w:r>
    </w:p>
    <w:p w14:paraId="1A0E81D9" w14:textId="53DFA0D5" w:rsidR="00F971FA" w:rsidRPr="009D4473" w:rsidRDefault="00F971FA" w:rsidP="00F971FA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same lub wyższe parametry od wymaganych w postanowieniach SWZ. Zmiana taka 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7F4F60">
        <w:rPr>
          <w:rFonts w:ascii="Arial" w:eastAsia="Arial" w:hAnsi="Arial" w:cs="Arial"/>
          <w:shd w:val="clear" w:color="auto" w:fill="FFFFFF"/>
        </w:rPr>
        <w:t>.</w:t>
      </w:r>
    </w:p>
    <w:p w14:paraId="16ABA6E9" w14:textId="7D88F9B1" w:rsidR="006B6767" w:rsidRDefault="006B6767" w:rsidP="006B6767">
      <w:pPr>
        <w:pStyle w:val="Akapitzlist"/>
        <w:numPr>
          <w:ilvl w:val="1"/>
          <w:numId w:val="14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bookmarkStart w:id="21" w:name="_Hlk142898998"/>
      <w:r w:rsidRPr="006B6767">
        <w:rPr>
          <w:rFonts w:ascii="Arial" w:eastAsia="Arial" w:hAnsi="Arial" w:cs="Arial"/>
          <w:shd w:val="clear" w:color="auto" w:fill="FFFFFF"/>
        </w:rPr>
        <w:t>W</w:t>
      </w:r>
      <w:r w:rsidR="009D4473" w:rsidRPr="006B6767">
        <w:rPr>
          <w:rFonts w:ascii="Arial" w:eastAsia="Arial" w:hAnsi="Arial" w:cs="Arial"/>
          <w:shd w:val="clear" w:color="auto" w:fill="FFFFFF"/>
        </w:rPr>
        <w:t>aloryzacja</w:t>
      </w:r>
      <w:r>
        <w:rPr>
          <w:rFonts w:ascii="Arial" w:eastAsia="Arial" w:hAnsi="Arial" w:cs="Arial"/>
          <w:shd w:val="clear" w:color="auto" w:fill="FFFFFF"/>
        </w:rPr>
        <w:t xml:space="preserve"> wynagrodzenia Wykonawcy</w:t>
      </w:r>
    </w:p>
    <w:p w14:paraId="4E39C26E" w14:textId="67AEF23D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Zamawiający przewiduje możliwość dokonania zmiany wysokości wynagrodzenia należnego Wykonawcy w przypadku istotnej zmiany cen materiałów lub innych kosztów związanych z realizacją zamówienia publicznego, w sytuacji gdy poziom zmiany cen materiałów lub innych kosztów wzrośnie </w:t>
      </w:r>
      <w:r w:rsidR="00613AEB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spadnie o co najmniej 10%. </w:t>
      </w:r>
    </w:p>
    <w:p w14:paraId="0A14CD38" w14:textId="49BD132E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Początkowy termin ustalenia zmiany wynagrodzenia ustala się na dzień następujący po upływie 6 miesięcy licząc od dnia zawarcia umowy. </w:t>
      </w:r>
    </w:p>
    <w:p w14:paraId="40BEA5A1" w14:textId="77777777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możliwa jest tylko na zakres pozostały do wykonania na dzień złożenia wniosku o zmianę wynagrodzenia. </w:t>
      </w:r>
    </w:p>
    <w:p w14:paraId="4B5B7292" w14:textId="247A32B3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lastRenderedPageBreak/>
        <w:t xml:space="preserve">Punktem odniesienia dla zmiany, o której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będzie wskaźnik cen towarów i usług konsumpcyjnych ogłoszony w komunikacie Prezesa Głównego Urzędu Statystycznego w kwartale złożenia wniosku o zwiększenie wynagrodzenia w odniesieniu do wskaźnika cen towarów i usług konsumpcyjnych ogłoszony w komunikacie Prezesa Głównego Urzędu Statystycznego w kwartale podpisania umowy. </w:t>
      </w:r>
    </w:p>
    <w:p w14:paraId="18302AD9" w14:textId="75F1BBEA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Strona wnioskująca o zmianę wynagrodzenia z przyczyn wskazanych w pkt 1)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powyżej zobowiązana jest uzasadnić swój wniosek, przedstawiając stosowne dokumenty potwierdzające wzrost lub spadek średnich cen materiałów </w:t>
      </w:r>
      <w:r w:rsidR="006D09FC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innych kosztów związanych z realizacją zamówienia. </w:t>
      </w:r>
    </w:p>
    <w:p w14:paraId="0CC8F2CE" w14:textId="55C2EFA6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 przypadku spełnienia warunków, o których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wynagrodzenie brutto Wykonawcy może ulec podwyższeniu lub obniżeniu </w:t>
      </w:r>
      <w:r w:rsidR="006D09FC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>o wartość wzrostu lub spadku wskaźnika.</w:t>
      </w:r>
    </w:p>
    <w:p w14:paraId="21D42274" w14:textId="789EFDA2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Zmiana wynagrodzenia dopuszczalna będzie jednorazowo w całym okresie realizacji przedmiotu umowy. Strona uprawniona będzie zobowiązana złożyć wniosek o zmianę wynagrodzenia nie później niż 30 dni przed upływem terminu zakończenia umowy.</w:t>
      </w:r>
    </w:p>
    <w:p w14:paraId="0B1C156D" w14:textId="3F945C03" w:rsidR="006B6767" w:rsidRPr="00CF31CE" w:rsidRDefault="006B6767" w:rsidP="00CF31CE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Maksymalna wartość zmiany wynagrodzenia, jaką Zamawiający dopuszcza na podstawie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nie może przekroczyć łącznie 10% wynagrodzenia brutto Wykonawcy w całym okresie trwania umowy. </w:t>
      </w:r>
    </w:p>
    <w:p w14:paraId="73D6188B" w14:textId="2B9001F8" w:rsidR="006B6767" w:rsidRPr="006B6767" w:rsidRDefault="006B6767" w:rsidP="006B67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Wykonawca, którego wynagrodzenie zostało zmienione zgodnie z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zobowiązany jest do zmiany wynagrodzenia przysługującego podwykonawcy, z którym zawarł umowę, w zakresie odpowiadającym zmianom cen materiałów, usług lub kosztów dotyczących zobowiązania podwykonawcy, jeżeli łącznie spełnione są następujące warunki:</w:t>
      </w:r>
    </w:p>
    <w:p w14:paraId="17879D3B" w14:textId="0ADC9EC5" w:rsidR="006B6767" w:rsidRPr="006B6767" w:rsidRDefault="006B6767" w:rsidP="006B6767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przedmiotem umowy są roboty budowlane</w:t>
      </w:r>
      <w:r w:rsidR="00613AEB">
        <w:rPr>
          <w:rFonts w:ascii="Arial" w:eastAsiaTheme="minorHAnsi" w:hAnsi="Arial" w:cs="Arial"/>
          <w:lang w:eastAsia="en-US"/>
        </w:rPr>
        <w:t xml:space="preserve">, dostawy </w:t>
      </w:r>
      <w:r w:rsidRPr="006B6767">
        <w:rPr>
          <w:rFonts w:ascii="Arial" w:eastAsiaTheme="minorHAnsi" w:hAnsi="Arial" w:cs="Arial"/>
          <w:lang w:eastAsia="en-US"/>
        </w:rPr>
        <w:t xml:space="preserve">lub usługi, </w:t>
      </w:r>
    </w:p>
    <w:p w14:paraId="65611E29" w14:textId="240B230E" w:rsidR="006B6767" w:rsidRPr="006B6767" w:rsidRDefault="006B6767" w:rsidP="006B6767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okres obowiązywania umowy przekracza 6 miesięcy.</w:t>
      </w:r>
    </w:p>
    <w:bookmarkEnd w:id="21"/>
    <w:p w14:paraId="1D75D41B" w14:textId="6159C074" w:rsidR="001B382B" w:rsidRPr="00A547F1" w:rsidRDefault="00EC24D0" w:rsidP="00EC24D0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284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1B382B" w:rsidRPr="00A547F1">
        <w:rPr>
          <w:rFonts w:ascii="Arial" w:hAnsi="Arial" w:cs="Arial"/>
        </w:rPr>
        <w:t>Warunki wprowadzenia zmian:</w:t>
      </w:r>
    </w:p>
    <w:p w14:paraId="4C56DEDC" w14:textId="77777777" w:rsidR="001B382B" w:rsidRPr="00F971FA" w:rsidRDefault="001B382B" w:rsidP="00EC24D0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567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 w:rsidP="00EC24D0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567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Pr="00F971FA" w:rsidRDefault="001B382B" w:rsidP="00EC24D0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567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2" w:name="bookmark42"/>
      <w:bookmarkStart w:id="23" w:name="bookmark43"/>
      <w:r w:rsidRPr="00F971FA">
        <w:rPr>
          <w:rFonts w:ascii="Arial" w:hAnsi="Arial" w:cs="Arial"/>
          <w:sz w:val="24"/>
          <w:szCs w:val="24"/>
        </w:rPr>
        <w:t>odstąpienie od umowy</w:t>
      </w:r>
      <w:bookmarkEnd w:id="22"/>
      <w:bookmarkEnd w:id="23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>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lastRenderedPageBreak/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 w:rsidP="009D4473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 w:rsidP="009D4473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57BE3B60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Odstąpienie od umowy może nastąpić w terminie 20 dni kalendarzowych od dnia powzięcia wiadomości o okolicznościach uzasadniających odstąpienie,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392B8E64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613AEB">
        <w:rPr>
          <w:rFonts w:ascii="Arial" w:hAnsi="Arial" w:cs="Arial"/>
          <w:sz w:val="24"/>
          <w:szCs w:val="24"/>
        </w:rPr>
        <w:t>-</w:t>
      </w:r>
      <w:r w:rsidR="00EB0542" w:rsidRPr="0024199E">
        <w:rPr>
          <w:rFonts w:ascii="Arial" w:hAnsi="Arial" w:cs="Arial"/>
          <w:sz w:val="24"/>
          <w:szCs w:val="24"/>
        </w:rPr>
        <w:t xml:space="preserve"> </w:t>
      </w:r>
      <w:r w:rsidR="00613AEB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E963BC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6B1645BE" w14:textId="77777777" w:rsidR="00E772AC" w:rsidRPr="0024199E" w:rsidRDefault="00E772AC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4" w:name="bookmark44"/>
      <w:bookmarkStart w:id="25" w:name="bookmark45"/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7777E4D7" w14:textId="6188C0C9" w:rsidR="00A94BB6" w:rsidRPr="00DC0876" w:rsidRDefault="004D0AC9" w:rsidP="00DC0876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4"/>
      <w:bookmarkEnd w:id="25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Default="001B382B" w:rsidP="00AC7895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3F7BBC2C" w14:textId="77777777" w:rsidR="00AC7895" w:rsidRPr="0024199E" w:rsidRDefault="00AC7895" w:rsidP="00AC7895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2894" w14:textId="77777777" w:rsidR="003B6890" w:rsidRDefault="003B6890">
      <w:r>
        <w:separator/>
      </w:r>
    </w:p>
  </w:endnote>
  <w:endnote w:type="continuationSeparator" w:id="0">
    <w:p w14:paraId="2F508AF0" w14:textId="77777777" w:rsidR="003B6890" w:rsidRDefault="003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1F8D" w14:textId="6AA41A0F" w:rsidR="006D09FC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6D09FC" w:rsidRDefault="006D09FC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6D09FC" w:rsidRDefault="006D09FC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818FC" w14:textId="77777777" w:rsidR="003B6890" w:rsidRDefault="003B6890">
      <w:r>
        <w:separator/>
      </w:r>
    </w:p>
  </w:footnote>
  <w:footnote w:type="continuationSeparator" w:id="0">
    <w:p w14:paraId="59BFD541" w14:textId="77777777" w:rsidR="003B6890" w:rsidRDefault="003B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23E30"/>
    <w:multiLevelType w:val="hybridMultilevel"/>
    <w:tmpl w:val="6D5AADE6"/>
    <w:lvl w:ilvl="0" w:tplc="F184D8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D62C9F"/>
    <w:multiLevelType w:val="multilevel"/>
    <w:tmpl w:val="B2D06416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E26D83"/>
    <w:multiLevelType w:val="hybridMultilevel"/>
    <w:tmpl w:val="402E9A0C"/>
    <w:lvl w:ilvl="0" w:tplc="31E80C6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2"/>
  </w:num>
  <w:num w:numId="3" w16cid:durableId="989408553">
    <w:abstractNumId w:val="17"/>
  </w:num>
  <w:num w:numId="4" w16cid:durableId="726612678">
    <w:abstractNumId w:val="27"/>
  </w:num>
  <w:num w:numId="5" w16cid:durableId="336274798">
    <w:abstractNumId w:val="18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20"/>
  </w:num>
  <w:num w:numId="10" w16cid:durableId="283118469">
    <w:abstractNumId w:val="3"/>
  </w:num>
  <w:num w:numId="11" w16cid:durableId="2061828471">
    <w:abstractNumId w:val="26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9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1"/>
  </w:num>
  <w:num w:numId="18" w16cid:durableId="1104618006">
    <w:abstractNumId w:val="28"/>
  </w:num>
  <w:num w:numId="19" w16cid:durableId="178080124">
    <w:abstractNumId w:val="6"/>
  </w:num>
  <w:num w:numId="20" w16cid:durableId="2042046475">
    <w:abstractNumId w:val="23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4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694947">
    <w:abstractNumId w:val="25"/>
  </w:num>
  <w:num w:numId="29" w16cid:durableId="86510221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37400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7754E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D3CBD"/>
    <w:rsid w:val="000E3E3F"/>
    <w:rsid w:val="000F3A43"/>
    <w:rsid w:val="000F7DB5"/>
    <w:rsid w:val="001072D1"/>
    <w:rsid w:val="001226B6"/>
    <w:rsid w:val="00122E39"/>
    <w:rsid w:val="0012672B"/>
    <w:rsid w:val="00126DF2"/>
    <w:rsid w:val="00135063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39CE"/>
    <w:rsid w:val="001759A0"/>
    <w:rsid w:val="00176370"/>
    <w:rsid w:val="0018281F"/>
    <w:rsid w:val="00184D44"/>
    <w:rsid w:val="00191031"/>
    <w:rsid w:val="001921CA"/>
    <w:rsid w:val="00193EA0"/>
    <w:rsid w:val="00194810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B63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44C7E"/>
    <w:rsid w:val="00245765"/>
    <w:rsid w:val="002718D1"/>
    <w:rsid w:val="00272E4E"/>
    <w:rsid w:val="00274EDE"/>
    <w:rsid w:val="0028206A"/>
    <w:rsid w:val="00284479"/>
    <w:rsid w:val="002847F9"/>
    <w:rsid w:val="00284B8F"/>
    <w:rsid w:val="0028687E"/>
    <w:rsid w:val="002917FE"/>
    <w:rsid w:val="0029768E"/>
    <w:rsid w:val="002A52E5"/>
    <w:rsid w:val="002B27FD"/>
    <w:rsid w:val="002B4890"/>
    <w:rsid w:val="002B57A5"/>
    <w:rsid w:val="002C2FD0"/>
    <w:rsid w:val="002C4572"/>
    <w:rsid w:val="002C4838"/>
    <w:rsid w:val="002C4FE4"/>
    <w:rsid w:val="002E0438"/>
    <w:rsid w:val="002E1045"/>
    <w:rsid w:val="002E7BA0"/>
    <w:rsid w:val="00300173"/>
    <w:rsid w:val="003011FB"/>
    <w:rsid w:val="00313980"/>
    <w:rsid w:val="003248FC"/>
    <w:rsid w:val="003276DC"/>
    <w:rsid w:val="00331D93"/>
    <w:rsid w:val="0033386D"/>
    <w:rsid w:val="00341C67"/>
    <w:rsid w:val="003455B9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890"/>
    <w:rsid w:val="003B6F79"/>
    <w:rsid w:val="003C115E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63449"/>
    <w:rsid w:val="00473CC4"/>
    <w:rsid w:val="004766AA"/>
    <w:rsid w:val="00477E20"/>
    <w:rsid w:val="00480FA3"/>
    <w:rsid w:val="00484B51"/>
    <w:rsid w:val="004864AE"/>
    <w:rsid w:val="00495216"/>
    <w:rsid w:val="004A4090"/>
    <w:rsid w:val="004A43C2"/>
    <w:rsid w:val="004B0594"/>
    <w:rsid w:val="004B12BA"/>
    <w:rsid w:val="004B3316"/>
    <w:rsid w:val="004B4072"/>
    <w:rsid w:val="004B4BD2"/>
    <w:rsid w:val="004D0AC9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12C6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65126"/>
    <w:rsid w:val="005858A5"/>
    <w:rsid w:val="0058717B"/>
    <w:rsid w:val="00593C93"/>
    <w:rsid w:val="005A17E2"/>
    <w:rsid w:val="005A7F5B"/>
    <w:rsid w:val="005B08A2"/>
    <w:rsid w:val="005B4F33"/>
    <w:rsid w:val="005B7BED"/>
    <w:rsid w:val="005C4C4E"/>
    <w:rsid w:val="005C5745"/>
    <w:rsid w:val="005C7377"/>
    <w:rsid w:val="005D285C"/>
    <w:rsid w:val="005D42B0"/>
    <w:rsid w:val="005D798F"/>
    <w:rsid w:val="005D7B28"/>
    <w:rsid w:val="005E4211"/>
    <w:rsid w:val="005E5843"/>
    <w:rsid w:val="006009FD"/>
    <w:rsid w:val="00613AEB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A4F05"/>
    <w:rsid w:val="006B1215"/>
    <w:rsid w:val="006B58C6"/>
    <w:rsid w:val="006B6767"/>
    <w:rsid w:val="006B67ED"/>
    <w:rsid w:val="006C44B4"/>
    <w:rsid w:val="006D09FC"/>
    <w:rsid w:val="006D30E2"/>
    <w:rsid w:val="006D31BA"/>
    <w:rsid w:val="006E06F8"/>
    <w:rsid w:val="006E7608"/>
    <w:rsid w:val="006E7F65"/>
    <w:rsid w:val="006F4831"/>
    <w:rsid w:val="00700FD6"/>
    <w:rsid w:val="007015D4"/>
    <w:rsid w:val="00711DFA"/>
    <w:rsid w:val="00713B30"/>
    <w:rsid w:val="00715D8F"/>
    <w:rsid w:val="00715FF5"/>
    <w:rsid w:val="00720AD9"/>
    <w:rsid w:val="00720CBD"/>
    <w:rsid w:val="007214FF"/>
    <w:rsid w:val="0072362D"/>
    <w:rsid w:val="00725EC9"/>
    <w:rsid w:val="0073060C"/>
    <w:rsid w:val="00735150"/>
    <w:rsid w:val="00736A4E"/>
    <w:rsid w:val="00736B38"/>
    <w:rsid w:val="00741D2F"/>
    <w:rsid w:val="00752F66"/>
    <w:rsid w:val="00754FD1"/>
    <w:rsid w:val="00762394"/>
    <w:rsid w:val="00762406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4F60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63C"/>
    <w:rsid w:val="00883CF8"/>
    <w:rsid w:val="00891824"/>
    <w:rsid w:val="008941C3"/>
    <w:rsid w:val="008950DB"/>
    <w:rsid w:val="00896C59"/>
    <w:rsid w:val="00897D0B"/>
    <w:rsid w:val="008A092A"/>
    <w:rsid w:val="008A429A"/>
    <w:rsid w:val="008B3292"/>
    <w:rsid w:val="008B4BBE"/>
    <w:rsid w:val="008B7E69"/>
    <w:rsid w:val="008C04F6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7C89"/>
    <w:rsid w:val="00921B6F"/>
    <w:rsid w:val="00923F20"/>
    <w:rsid w:val="0092748A"/>
    <w:rsid w:val="00931471"/>
    <w:rsid w:val="009344F1"/>
    <w:rsid w:val="0093708E"/>
    <w:rsid w:val="00937389"/>
    <w:rsid w:val="00946AA1"/>
    <w:rsid w:val="00950875"/>
    <w:rsid w:val="00966AE6"/>
    <w:rsid w:val="00971B2E"/>
    <w:rsid w:val="0097223A"/>
    <w:rsid w:val="00974EB1"/>
    <w:rsid w:val="0097766E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0CBF"/>
    <w:rsid w:val="009C4EAF"/>
    <w:rsid w:val="009C5843"/>
    <w:rsid w:val="009D27E9"/>
    <w:rsid w:val="009D4473"/>
    <w:rsid w:val="009E19D7"/>
    <w:rsid w:val="009F04BA"/>
    <w:rsid w:val="009F610D"/>
    <w:rsid w:val="00A004D6"/>
    <w:rsid w:val="00A0575E"/>
    <w:rsid w:val="00A109B5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29A8"/>
    <w:rsid w:val="00A52A81"/>
    <w:rsid w:val="00A53503"/>
    <w:rsid w:val="00A5378A"/>
    <w:rsid w:val="00A53AD4"/>
    <w:rsid w:val="00A547F1"/>
    <w:rsid w:val="00A54E2A"/>
    <w:rsid w:val="00A54F09"/>
    <w:rsid w:val="00A56C8D"/>
    <w:rsid w:val="00A64ED8"/>
    <w:rsid w:val="00A66D50"/>
    <w:rsid w:val="00A67913"/>
    <w:rsid w:val="00A7202C"/>
    <w:rsid w:val="00A77D92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1F55"/>
    <w:rsid w:val="00AC4FE6"/>
    <w:rsid w:val="00AC7895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1C28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97F4C"/>
    <w:rsid w:val="00BA3E0A"/>
    <w:rsid w:val="00BB09D2"/>
    <w:rsid w:val="00BB2B0B"/>
    <w:rsid w:val="00BB3B75"/>
    <w:rsid w:val="00BB42BB"/>
    <w:rsid w:val="00BC0312"/>
    <w:rsid w:val="00BC0522"/>
    <w:rsid w:val="00BE51DF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60C87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CF31CE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A0115"/>
    <w:rsid w:val="00DA0A27"/>
    <w:rsid w:val="00DA66BB"/>
    <w:rsid w:val="00DC0876"/>
    <w:rsid w:val="00DC2263"/>
    <w:rsid w:val="00DC4C1A"/>
    <w:rsid w:val="00DC6F58"/>
    <w:rsid w:val="00DD5417"/>
    <w:rsid w:val="00DE0B33"/>
    <w:rsid w:val="00DE2954"/>
    <w:rsid w:val="00DE527A"/>
    <w:rsid w:val="00DF2B78"/>
    <w:rsid w:val="00DF4E4B"/>
    <w:rsid w:val="00E0472F"/>
    <w:rsid w:val="00E072BC"/>
    <w:rsid w:val="00E10512"/>
    <w:rsid w:val="00E113C6"/>
    <w:rsid w:val="00E13EDD"/>
    <w:rsid w:val="00E154DE"/>
    <w:rsid w:val="00E16DDA"/>
    <w:rsid w:val="00E22373"/>
    <w:rsid w:val="00E27190"/>
    <w:rsid w:val="00E3773E"/>
    <w:rsid w:val="00E41735"/>
    <w:rsid w:val="00E42B9A"/>
    <w:rsid w:val="00E47432"/>
    <w:rsid w:val="00E51B72"/>
    <w:rsid w:val="00E51F50"/>
    <w:rsid w:val="00E54072"/>
    <w:rsid w:val="00E56458"/>
    <w:rsid w:val="00E628A3"/>
    <w:rsid w:val="00E772AC"/>
    <w:rsid w:val="00E82301"/>
    <w:rsid w:val="00E82474"/>
    <w:rsid w:val="00E963BC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4D0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19C7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67427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6FED"/>
    <w:rsid w:val="00FA7E50"/>
    <w:rsid w:val="00FB492F"/>
    <w:rsid w:val="00FB58BB"/>
    <w:rsid w:val="00FC5A40"/>
    <w:rsid w:val="00FD78B7"/>
    <w:rsid w:val="00FD7EC8"/>
    <w:rsid w:val="00FE1DAD"/>
    <w:rsid w:val="00FE69D4"/>
    <w:rsid w:val="00FE7DFF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66</cp:revision>
  <cp:lastPrinted>2024-07-23T07:54:00Z</cp:lastPrinted>
  <dcterms:created xsi:type="dcterms:W3CDTF">2022-02-02T11:13:00Z</dcterms:created>
  <dcterms:modified xsi:type="dcterms:W3CDTF">2024-07-23T08:09:00Z</dcterms:modified>
</cp:coreProperties>
</file>