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10</w:t>
      </w:r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składane na podstawie art. 125 ust.5 ustawy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„Przebudowa istniejącego boiska sportowego przy ZS Pod Lasem w Wolbromiu w ramach projektu Rewitalizacja ZS Pod Lasem w Wolbromiu wraz z dobudową przedszkola i przebudową istniejącego boiska sportowego”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z 2023r.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poz. 129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z 2023r. poz. 129 z późn. zm.)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</w:t>
      </w:r>
      <w:bookmarkStart w:id="1" w:name="_GoBack"/>
      <w:bookmarkEnd w:id="1"/>
      <w:r>
        <w:rPr>
          <w:rFonts w:ascii="Trebuchet MS" w:hAnsi="Trebuchet MS" w:cs="Arial"/>
        </w:rPr>
        <w:t xml:space="preserve">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40C1B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D943B18"/>
    <w:rsid w:val="4BE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2841</Characters>
  <Lines>23</Lines>
  <Paragraphs>6</Paragraphs>
  <TotalTime>96</TotalTime>
  <ScaleCrop>false</ScaleCrop>
  <LinksUpToDate>false</LinksUpToDate>
  <CharactersWithSpaces>3308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2023-05-11T06:41:07Z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B1783A2E3881447AAB59A16D7D42C592</vt:lpwstr>
  </property>
</Properties>
</file>