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63A7545" w:rsidR="00EF0373" w:rsidRPr="00C005FF" w:rsidRDefault="00A27CD8" w:rsidP="007C4968">
      <w:pPr>
        <w:rPr>
          <w:rStyle w:val="Wyrnieniedelikatne"/>
        </w:rPr>
      </w:pPr>
      <w:r>
        <w:rPr>
          <w:rStyle w:val="Wyrnieniedelikatne"/>
        </w:rPr>
        <w:t xml:space="preserve">               </w:t>
      </w:r>
      <w:r w:rsidRPr="00FF019A">
        <w:rPr>
          <w:rFonts w:ascii="CIDFont+F1" w:hAnsi="CIDFont+F1" w:cs="CIDFont+F1"/>
          <w:noProof/>
          <w:sz w:val="18"/>
          <w:szCs w:val="18"/>
        </w:rPr>
        <w:drawing>
          <wp:inline distT="0" distB="0" distL="0" distR="0" wp14:anchorId="4FF22B43" wp14:editId="18728E0C">
            <wp:extent cx="619125" cy="790575"/>
            <wp:effectExtent l="0" t="0" r="9525" b="9525"/>
            <wp:docPr id="3" name="Obraz 3" descr="herb_napis_go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napis_gor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r>
        <w:rPr>
          <w:rStyle w:val="Wyrnieniedelikatne"/>
        </w:rPr>
        <w:t xml:space="preserve">                                                                                    </w:t>
      </w:r>
      <w:r w:rsidRPr="005703E7">
        <w:rPr>
          <w:rFonts w:ascii="CIDFont+F1" w:hAnsi="CIDFont+F1" w:cs="CIDFont+F1"/>
          <w:noProof/>
          <w:sz w:val="18"/>
          <w:szCs w:val="18"/>
        </w:rPr>
        <w:fldChar w:fldCharType="begin"/>
      </w:r>
      <w:r w:rsidRPr="005703E7">
        <w:rPr>
          <w:rFonts w:ascii="CIDFont+F1" w:hAnsi="CIDFont+F1" w:cs="CIDFont+F1"/>
          <w:noProof/>
          <w:sz w:val="18"/>
          <w:szCs w:val="18"/>
        </w:rPr>
        <w:instrText xml:space="preserve"> INCLUDEPICTURE "https://www.starostwo.lezajsk.pl/wp-content/uploads/2021/09/rfil.jpg" \* MERGEFORMATINET </w:instrText>
      </w:r>
      <w:r w:rsidRPr="005703E7">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fldChar w:fldCharType="begin"/>
      </w:r>
      <w:r>
        <w:rPr>
          <w:rFonts w:ascii="CIDFont+F1" w:hAnsi="CIDFont+F1" w:cs="CIDFont+F1"/>
          <w:noProof/>
          <w:sz w:val="18"/>
          <w:szCs w:val="18"/>
        </w:rPr>
        <w:instrText xml:space="preserve"> INCLUDEPICTURE  "https://www.starostwo.lezajsk.pl/wp-content/uploads/2021/09/rfil.jpg" \* MERGEFORMATINET </w:instrText>
      </w:r>
      <w:r>
        <w:rPr>
          <w:rFonts w:ascii="CIDFont+F1" w:hAnsi="CIDFont+F1" w:cs="CIDFont+F1"/>
          <w:noProof/>
          <w:sz w:val="18"/>
          <w:szCs w:val="18"/>
        </w:rPr>
        <w:fldChar w:fldCharType="separate"/>
      </w:r>
      <w:r>
        <w:rPr>
          <w:rFonts w:ascii="CIDFont+F1" w:hAnsi="CIDFont+F1" w:cs="CIDFont+F1"/>
          <w:noProof/>
          <w:sz w:val="18"/>
          <w:szCs w:val="18"/>
        </w:rPr>
        <w:pict w14:anchorId="0A36D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7.8pt;height:61.8pt;mso-width-percent:0;mso-height-percent:0;mso-width-percent:0;mso-height-percent:0">
            <v:imagedata r:id="rId9" r:href="rId10"/>
          </v:shape>
        </w:pict>
      </w:r>
      <w:r>
        <w:rPr>
          <w:rFonts w:ascii="CIDFont+F1" w:hAnsi="CIDFont+F1" w:cs="CIDFont+F1"/>
          <w:noProof/>
          <w:sz w:val="18"/>
          <w:szCs w:val="18"/>
        </w:rPr>
        <w:fldChar w:fldCharType="end"/>
      </w:r>
      <w:r>
        <w:rPr>
          <w:rFonts w:ascii="CIDFont+F1" w:hAnsi="CIDFont+F1" w:cs="CIDFont+F1"/>
          <w:noProof/>
          <w:sz w:val="18"/>
          <w:szCs w:val="18"/>
        </w:rPr>
        <w:fldChar w:fldCharType="end"/>
      </w:r>
      <w:r>
        <w:rPr>
          <w:rFonts w:ascii="CIDFont+F1" w:hAnsi="CIDFont+F1" w:cs="CIDFont+F1"/>
          <w:noProof/>
          <w:sz w:val="18"/>
          <w:szCs w:val="18"/>
        </w:rPr>
        <w:fldChar w:fldCharType="end"/>
      </w:r>
      <w:r>
        <w:rPr>
          <w:rFonts w:ascii="CIDFont+F1" w:hAnsi="CIDFont+F1" w:cs="CIDFont+F1"/>
          <w:noProof/>
          <w:sz w:val="18"/>
          <w:szCs w:val="18"/>
        </w:rPr>
        <w:fldChar w:fldCharType="end"/>
      </w:r>
      <w:r>
        <w:rPr>
          <w:rFonts w:ascii="CIDFont+F1" w:hAnsi="CIDFont+F1" w:cs="CIDFont+F1"/>
          <w:noProof/>
          <w:sz w:val="18"/>
          <w:szCs w:val="18"/>
        </w:rPr>
        <w:fldChar w:fldCharType="end"/>
      </w:r>
      <w:r w:rsidRPr="005703E7">
        <w:rPr>
          <w:rFonts w:ascii="CIDFont+F1" w:hAnsi="CIDFont+F1" w:cs="CIDFont+F1"/>
          <w:noProof/>
          <w:sz w:val="18"/>
          <w:szCs w:val="18"/>
        </w:rPr>
        <w:fldChar w:fldCharType="end"/>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389F5F18" w14:textId="77777777" w:rsidR="002F03D5" w:rsidRPr="002F03D5" w:rsidRDefault="002F03D5" w:rsidP="002F03D5">
      <w:pPr>
        <w:spacing w:line="240" w:lineRule="auto"/>
        <w:jc w:val="both"/>
        <w:rPr>
          <w:rFonts w:asciiTheme="minorHAnsi" w:eastAsia="Times New Roman" w:hAnsiTheme="minorHAnsi" w:cstheme="minorHAnsi"/>
          <w:b/>
          <w:lang w:val="pl-PL"/>
        </w:rPr>
      </w:pPr>
      <w:bookmarkStart w:id="3" w:name="_Hlk133247204"/>
      <w:bookmarkStart w:id="4" w:name="_Hlk107841529"/>
      <w:r w:rsidRPr="002F03D5">
        <w:rPr>
          <w:rFonts w:asciiTheme="minorHAnsi" w:eastAsia="Times New Roman" w:hAnsiTheme="minorHAnsi" w:cstheme="minorHAnsi"/>
          <w:b/>
          <w:lang w:val="pl-PL" w:eastAsia="en-US"/>
        </w:rPr>
        <w:t>„</w:t>
      </w:r>
      <w:bookmarkStart w:id="5" w:name="_Hlk139643321"/>
      <w:r w:rsidRPr="002F03D5">
        <w:rPr>
          <w:rFonts w:asciiTheme="minorHAnsi" w:eastAsiaTheme="minorHAnsi" w:hAnsiTheme="minorHAnsi" w:cstheme="minorHAnsi"/>
          <w:b/>
          <w:bCs/>
          <w:kern w:val="3"/>
          <w:lang w:val="pl-PL" w:eastAsia="en-US"/>
        </w:rPr>
        <w:t>Zagospodarowanie terenu wokół kościoła</w:t>
      </w:r>
      <w:bookmarkEnd w:id="5"/>
      <w:r w:rsidRPr="002F03D5">
        <w:rPr>
          <w:rFonts w:asciiTheme="minorHAnsi" w:eastAsiaTheme="minorHAnsi" w:hAnsiTheme="minorHAnsi" w:cstheme="minorHAnsi"/>
          <w:b/>
          <w:bCs/>
          <w:kern w:val="3"/>
          <w:lang w:val="pl-PL" w:eastAsia="en-US"/>
        </w:rPr>
        <w:t xml:space="preserve"> pw. Św. Michała i św. Piotra w Okowach w Konarzewie</w:t>
      </w:r>
      <w:r w:rsidRPr="002F03D5">
        <w:rPr>
          <w:rFonts w:asciiTheme="minorHAnsi" w:eastAsia="Times New Roman" w:hAnsiTheme="minorHAnsi" w:cstheme="minorHAnsi"/>
          <w:b/>
          <w:lang w:val="pl-PL"/>
        </w:rPr>
        <w:t>”.</w:t>
      </w:r>
    </w:p>
    <w:bookmarkEnd w:id="3"/>
    <w:p w14:paraId="30A49132" w14:textId="74A0FAD3" w:rsidR="008870AA" w:rsidRDefault="008870AA" w:rsidP="002F03D5">
      <w:pPr>
        <w:spacing w:line="319" w:lineRule="auto"/>
        <w:rPr>
          <w:rFonts w:asciiTheme="minorHAnsi" w:hAnsiTheme="minorHAnsi" w:cstheme="minorHAnsi"/>
        </w:rPr>
      </w:pPr>
    </w:p>
    <w:bookmarkEnd w:id="4"/>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6"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6"/>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DE75AFE"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F03D5">
        <w:rPr>
          <w:rFonts w:asciiTheme="minorHAnsi" w:hAnsiTheme="minorHAnsi" w:cstheme="minorHAnsi"/>
          <w:b/>
          <w:bCs/>
        </w:rPr>
        <w:t>14</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5B14884"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2F03D5">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2F03D5">
        <w:rPr>
          <w:rFonts w:asciiTheme="minorHAnsi" w:eastAsia="Times New Roman" w:hAnsiTheme="minorHAnsi" w:cstheme="minorHAnsi"/>
          <w:b/>
          <w:bCs/>
        </w:rPr>
        <w:t>12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7"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lastRenderedPageBreak/>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127CBEFC"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1DAAF36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1959D6D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66F2347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37D96C8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634B77D9"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3D615E0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4720338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5CC2080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30D214F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22571E7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39FA8C1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6980258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61206E2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04A8A20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6748FE0" w14:textId="60403EB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74D3643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34AC51D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5CF6407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1265FF2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28D28A5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7F8B5C0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46A8E81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3D3B61">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7"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11"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12"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3"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5"/>
      <w:r w:rsidRPr="008870AA">
        <w:rPr>
          <w:rFonts w:asciiTheme="minorHAnsi" w:hAnsiTheme="minorHAnsi" w:cstheme="minorHAnsi"/>
          <w:b/>
          <w:bCs/>
          <w:sz w:val="24"/>
          <w:szCs w:val="24"/>
        </w:rPr>
        <w:t>II. Ochrona danych osobowych</w:t>
      </w:r>
      <w:bookmarkEnd w:id="9"/>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4"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6"/>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1" w:name="_Toc135663017"/>
      <w:r w:rsidRPr="008870AA">
        <w:rPr>
          <w:rFonts w:asciiTheme="minorHAnsi" w:hAnsiTheme="minorHAnsi" w:cstheme="minorHAnsi"/>
          <w:b/>
          <w:bCs/>
          <w:sz w:val="24"/>
          <w:szCs w:val="24"/>
        </w:rPr>
        <w:t>IV. Opis przedmiotu zamówienia</w:t>
      </w:r>
      <w:bookmarkStart w:id="12" w:name="_Hlk66787009"/>
      <w:bookmarkEnd w:id="11"/>
    </w:p>
    <w:p w14:paraId="4837451E" w14:textId="5A54DDA3" w:rsidR="00FC1487" w:rsidRPr="00FC1487" w:rsidRDefault="008870AA" w:rsidP="006A52C0">
      <w:pPr>
        <w:autoSpaceDE w:val="0"/>
        <w:autoSpaceDN w:val="0"/>
        <w:adjustRightInd w:val="0"/>
        <w:spacing w:line="319" w:lineRule="auto"/>
        <w:jc w:val="both"/>
        <w:rPr>
          <w:rFonts w:asciiTheme="minorHAnsi" w:eastAsiaTheme="minorHAnsi" w:hAnsiTheme="minorHAnsi" w:cstheme="minorHAnsi"/>
          <w:lang w:val="pl-PL" w:eastAsia="en-US"/>
        </w:rPr>
      </w:pPr>
      <w:bookmarkStart w:id="13"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4" w:name="_Hlk124949566"/>
      <w:r w:rsidR="008D453C">
        <w:rPr>
          <w:rFonts w:asciiTheme="minorHAnsi" w:hAnsiTheme="minorHAnsi" w:cstheme="minorHAnsi"/>
        </w:rPr>
        <w:t xml:space="preserve"> </w:t>
      </w:r>
      <w:r w:rsidR="006A52C0" w:rsidRPr="00D17244">
        <w:rPr>
          <w:rFonts w:asciiTheme="minorHAnsi" w:eastAsia="Times New Roman" w:hAnsiTheme="minorHAnsi" w:cstheme="minorHAnsi"/>
          <w:bCs/>
          <w:szCs w:val="24"/>
        </w:rPr>
        <w:t xml:space="preserve">zagospodarowanie terenu wokół kościoła </w:t>
      </w:r>
      <w:r w:rsidR="006A52C0" w:rsidRPr="00D17244">
        <w:rPr>
          <w:rFonts w:asciiTheme="minorHAnsi" w:hAnsiTheme="minorHAnsi" w:cstheme="minorHAnsi"/>
          <w:bCs/>
          <w:szCs w:val="24"/>
        </w:rPr>
        <w:t>pw. św. Michała i św. Piotra w Okowach w Konarzewie</w:t>
      </w:r>
      <w:r w:rsidR="006A52C0" w:rsidRPr="00D17244">
        <w:rPr>
          <w:rFonts w:asciiTheme="minorHAnsi" w:eastAsiaTheme="minorHAnsi" w:hAnsiTheme="minorHAnsi" w:cstheme="minorHAnsi"/>
          <w:bCs/>
          <w:lang w:val="pl-PL" w:eastAsia="en-US"/>
        </w:rPr>
        <w:t>.</w:t>
      </w:r>
    </w:p>
    <w:p w14:paraId="2CAB988B" w14:textId="09B49890" w:rsidR="002F03D5" w:rsidRPr="002F03D5" w:rsidRDefault="006A52C0" w:rsidP="006A52C0">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Zamówienie</w:t>
      </w:r>
      <w:r w:rsidR="002F03D5" w:rsidRPr="002F03D5">
        <w:rPr>
          <w:rFonts w:asciiTheme="minorHAnsi" w:eastAsia="Times New Roman" w:hAnsiTheme="minorHAnsi" w:cstheme="minorHAnsi"/>
          <w:lang w:val="pl-PL"/>
        </w:rPr>
        <w:t xml:space="preserve"> polega na:</w:t>
      </w:r>
    </w:p>
    <w:p w14:paraId="4E07CEBB"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budowie, przebudowie odcinka drogi wewnętrznej w kierunku wschód- zachód oraz w kierunku północ-południe,  o warstwie ścieralnej z kostki betonowej pełnej, prostokątnej, bez fazy, o postarzanej fakturze, koloru szarego, gr. 8 cm;</w:t>
      </w:r>
    </w:p>
    <w:p w14:paraId="1C92CBA7"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i przebudowie  3 zjazdów na drogę powiatową;</w:t>
      </w:r>
    </w:p>
    <w:p w14:paraId="469B98D7"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przebudowie zjazdu na teren kościoła;</w:t>
      </w:r>
    </w:p>
    <w:p w14:paraId="5A433B68"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zjazdów indywidualnych z kostki betonowej, pełnej, prostokątnej, bez fazy, o postarzanej fakturze, koloru grafitowego, gr. 8cm;</w:t>
      </w:r>
    </w:p>
    <w:p w14:paraId="604AF3AC"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przebudowie i remoncie chodnika o szerokości 1,5 - 2,0m z kostki betonowej, pełnej, prostokątnej, bez fazy, o postarzanej fakturze, koloru szarego, gr. 8cm oraz o nawierzchni z płyt betonowych wielkoformatowych prefabrykowanych;</w:t>
      </w:r>
    </w:p>
    <w:p w14:paraId="36730718"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miejsc postojowych  i utwardzeń z płyty betonowej typu EKO;</w:t>
      </w:r>
    </w:p>
    <w:p w14:paraId="75E3F5FD"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nowych odcinków i przebudowie istniejącej kanalizacji deszczowej wraz z budową wpustów ulicznych;</w:t>
      </w:r>
    </w:p>
    <w:p w14:paraId="4560D5AF"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przebudowie hydrantu;</w:t>
      </w:r>
    </w:p>
    <w:p w14:paraId="2EF26E45" w14:textId="5FC15963"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oświetlenia drogowego - słupy aluminiowe anodowane o wysokości 4m z oprawami </w:t>
      </w:r>
      <w:proofErr w:type="spellStart"/>
      <w:r w:rsidRPr="002F03D5">
        <w:rPr>
          <w:rFonts w:asciiTheme="minorHAnsi" w:eastAsia="Times New Roman" w:hAnsiTheme="minorHAnsi" w:cstheme="minorHAnsi"/>
          <w:lang w:val="pl-PL"/>
        </w:rPr>
        <w:t>ledowymi</w:t>
      </w:r>
      <w:proofErr w:type="spellEnd"/>
      <w:r w:rsidR="00D17244">
        <w:rPr>
          <w:rFonts w:asciiTheme="minorHAnsi" w:eastAsia="Times New Roman" w:hAnsiTheme="minorHAnsi" w:cstheme="minorHAnsi"/>
          <w:lang w:val="pl-PL"/>
        </w:rPr>
        <w:t>;</w:t>
      </w:r>
    </w:p>
    <w:p w14:paraId="257D22C9"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kanału technologicznego;</w:t>
      </w:r>
    </w:p>
    <w:p w14:paraId="4CAC4B11"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rozbiórka ogrodzenia murowanego w granicy z działkami o nr </w:t>
      </w:r>
      <w:proofErr w:type="spellStart"/>
      <w:r w:rsidRPr="002F03D5">
        <w:rPr>
          <w:rFonts w:asciiTheme="minorHAnsi" w:eastAsia="Times New Roman" w:hAnsiTheme="minorHAnsi" w:cstheme="minorHAnsi"/>
          <w:lang w:val="pl-PL"/>
        </w:rPr>
        <w:t>ewid</w:t>
      </w:r>
      <w:proofErr w:type="spellEnd"/>
      <w:r w:rsidRPr="002F03D5">
        <w:rPr>
          <w:rFonts w:asciiTheme="minorHAnsi" w:eastAsia="Times New Roman" w:hAnsiTheme="minorHAnsi" w:cstheme="minorHAnsi"/>
          <w:lang w:val="pl-PL"/>
        </w:rPr>
        <w:t>. 333/1, 235/15;</w:t>
      </w:r>
    </w:p>
    <w:p w14:paraId="08C8A10C"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budowie obiektów małej architektury, w tym ławki betonowe, kosze, podstawa pomnika;</w:t>
      </w:r>
    </w:p>
    <w:p w14:paraId="13D702FB"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wykonanie wycinek 18 drzew oraz nasadzeń zastępczych;</w:t>
      </w:r>
    </w:p>
    <w:p w14:paraId="3A9A24CF"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humusowanie i obsianie mieszanka traw; </w:t>
      </w:r>
    </w:p>
    <w:p w14:paraId="4682F9EE"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oznakowanie poziome i pionowe;</w:t>
      </w:r>
    </w:p>
    <w:p w14:paraId="29BB0C69" w14:textId="77777777"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 xml:space="preserve"> - przebudowa istniejącej infrastruktury teletechnicznej i energetycznej.</w:t>
      </w:r>
    </w:p>
    <w:p w14:paraId="07D7CFAC" w14:textId="77777777" w:rsidR="002F03D5" w:rsidRPr="002F03D5" w:rsidRDefault="002F03D5" w:rsidP="006A52C0">
      <w:pPr>
        <w:spacing w:line="319" w:lineRule="auto"/>
        <w:jc w:val="both"/>
        <w:rPr>
          <w:rFonts w:asciiTheme="minorHAnsi" w:eastAsia="Times New Roman" w:hAnsiTheme="minorHAnsi" w:cstheme="minorHAnsi"/>
          <w:lang w:val="pl-PL"/>
        </w:rPr>
      </w:pPr>
    </w:p>
    <w:p w14:paraId="7D469D72" w14:textId="066F286D" w:rsidR="002F03D5" w:rsidRPr="002F03D5" w:rsidRDefault="002F03D5" w:rsidP="006A52C0">
      <w:pPr>
        <w:spacing w:line="319"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lastRenderedPageBreak/>
        <w:t xml:space="preserve">Na ww. terenie  występuje infrastruktura niezwiązana z drogami, w tym sieć wodociągowa, elektryczna, teletechniczna czy gazowa, której przebudowę lub/i zabezpieczenie w przypadku wystąpienia kolizji należy </w:t>
      </w:r>
      <w:bookmarkStart w:id="15" w:name="_Hlk140059781"/>
      <w:r w:rsidR="00D17244" w:rsidRPr="00F67BBB">
        <w:rPr>
          <w:rFonts w:asciiTheme="minorHAnsi" w:eastAsia="Times New Roman" w:hAnsiTheme="minorHAnsi" w:cstheme="minorHAnsi"/>
          <w:lang w:val="pl-PL"/>
        </w:rPr>
        <w:t>wykonać w ramach niniejszego zamówienia</w:t>
      </w:r>
      <w:r w:rsidRPr="002F03D5">
        <w:rPr>
          <w:rFonts w:asciiTheme="minorHAnsi" w:eastAsia="Times New Roman" w:hAnsiTheme="minorHAnsi" w:cstheme="minorHAnsi"/>
          <w:lang w:val="pl-PL"/>
        </w:rPr>
        <w:t>.</w:t>
      </w:r>
      <w:bookmarkEnd w:id="15"/>
    </w:p>
    <w:p w14:paraId="04D66EB7" w14:textId="77777777" w:rsidR="00D17244" w:rsidRDefault="00D17244" w:rsidP="006A52C0">
      <w:pPr>
        <w:spacing w:line="319" w:lineRule="auto"/>
        <w:jc w:val="both"/>
        <w:rPr>
          <w:rFonts w:asciiTheme="minorHAnsi" w:eastAsia="Times New Roman" w:hAnsiTheme="minorHAnsi" w:cstheme="minorHAnsi"/>
          <w:lang w:val="pl-PL"/>
        </w:rPr>
      </w:pPr>
    </w:p>
    <w:p w14:paraId="318C7836" w14:textId="73BBC08A" w:rsidR="002F03D5" w:rsidRPr="006A52C0" w:rsidRDefault="00FC1487" w:rsidP="006A52C0">
      <w:pPr>
        <w:spacing w:line="319" w:lineRule="auto"/>
        <w:jc w:val="both"/>
        <w:rPr>
          <w:rFonts w:asciiTheme="minorHAnsi" w:eastAsia="Times New Roman" w:hAnsiTheme="minorHAnsi" w:cstheme="minorHAnsi"/>
          <w:lang w:val="pl-PL"/>
        </w:rPr>
      </w:pPr>
      <w:r w:rsidRPr="006A52C0">
        <w:rPr>
          <w:rFonts w:asciiTheme="minorHAnsi" w:eastAsia="Times New Roman" w:hAnsiTheme="minorHAnsi" w:cstheme="minorHAnsi"/>
          <w:lang w:val="pl-PL"/>
        </w:rPr>
        <w:t>Zamówienie</w:t>
      </w:r>
      <w:r w:rsidR="002F03D5" w:rsidRPr="006A52C0">
        <w:rPr>
          <w:rFonts w:asciiTheme="minorHAnsi" w:eastAsia="Times New Roman" w:hAnsiTheme="minorHAnsi" w:cstheme="minorHAnsi"/>
          <w:lang w:val="pl-PL"/>
        </w:rPr>
        <w:t>/</w:t>
      </w:r>
      <w:r w:rsidRPr="006A52C0">
        <w:rPr>
          <w:rFonts w:asciiTheme="minorHAnsi" w:eastAsia="Times New Roman" w:hAnsiTheme="minorHAnsi" w:cstheme="minorHAnsi"/>
          <w:lang w:val="pl-PL"/>
        </w:rPr>
        <w:t xml:space="preserve"> </w:t>
      </w:r>
      <w:r w:rsidR="002F03D5" w:rsidRPr="006A52C0">
        <w:rPr>
          <w:rFonts w:asciiTheme="minorHAnsi" w:eastAsia="Times New Roman" w:hAnsiTheme="minorHAnsi" w:cstheme="minorHAnsi"/>
          <w:lang w:val="pl-PL"/>
        </w:rPr>
        <w:t xml:space="preserve">inwestycja realizowana będzie z dofinansowaniem </w:t>
      </w:r>
      <w:r w:rsidR="002F03D5" w:rsidRPr="006A52C0">
        <w:rPr>
          <w:rFonts w:asciiTheme="minorHAnsi" w:eastAsia="Times New Roman" w:hAnsiTheme="minorHAnsi" w:cstheme="minorHAnsi"/>
          <w:kern w:val="3"/>
          <w:lang w:val="pl-PL" w:eastAsia="en-US"/>
        </w:rPr>
        <w:t>ze środków Rządowego Funduszu Inwestycji Lokalnych (w ramach środków Funduszu Przeciwdziałania COVID-19 dla gmin z przeznaczeniem na inwestycje realizowane w miejscowościach, w których funkcjonowały zlikwidowane państwowe przedsiębiorstwa gospodarki rolnej)</w:t>
      </w:r>
      <w:r w:rsidR="002F03D5" w:rsidRPr="006A52C0">
        <w:rPr>
          <w:rFonts w:asciiTheme="minorHAnsi" w:eastAsia="Times New Roman" w:hAnsiTheme="minorHAnsi" w:cstheme="minorHAnsi"/>
          <w:lang w:val="pl-PL"/>
        </w:rPr>
        <w:t>.</w:t>
      </w:r>
    </w:p>
    <w:p w14:paraId="3B4DDB2A" w14:textId="74EC6C75" w:rsidR="00FC1487" w:rsidRPr="006A52C0" w:rsidRDefault="00FC1487" w:rsidP="006A52C0">
      <w:pPr>
        <w:tabs>
          <w:tab w:val="left" w:pos="0"/>
        </w:tabs>
        <w:spacing w:line="240" w:lineRule="auto"/>
        <w:jc w:val="both"/>
        <w:rPr>
          <w:rFonts w:asciiTheme="minorHAnsi" w:eastAsia="Times New Roman" w:hAnsiTheme="minorHAnsi" w:cstheme="minorHAnsi"/>
          <w:b/>
          <w:lang w:val="pl-PL"/>
        </w:rPr>
      </w:pP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4"/>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3"/>
    <w:p w14:paraId="64684D66" w14:textId="77777777" w:rsidR="002F03D5" w:rsidRPr="002F03D5" w:rsidRDefault="002F03D5" w:rsidP="002F03D5">
      <w:pPr>
        <w:spacing w:line="240"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45233252-0  Roboty w zakresie nawierzchni ulic</w:t>
      </w:r>
    </w:p>
    <w:p w14:paraId="106E2124" w14:textId="4D76DAD4" w:rsidR="002F03D5" w:rsidRPr="002F03D5" w:rsidRDefault="002F03D5" w:rsidP="002F03D5">
      <w:pPr>
        <w:spacing w:line="240"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45233253-7  Roboty w zakresie nawierzchni dróg dla pieszych</w:t>
      </w:r>
    </w:p>
    <w:p w14:paraId="6BFA28CF" w14:textId="3436E655" w:rsidR="002F03D5" w:rsidRPr="002F03D5" w:rsidRDefault="002F03D5" w:rsidP="002F03D5">
      <w:pPr>
        <w:spacing w:line="240" w:lineRule="auto"/>
        <w:jc w:val="both"/>
        <w:rPr>
          <w:rFonts w:asciiTheme="minorHAnsi" w:eastAsia="Times New Roman" w:hAnsiTheme="minorHAnsi" w:cstheme="minorHAnsi"/>
          <w:sz w:val="24"/>
          <w:szCs w:val="24"/>
          <w:lang w:val="pl-PL"/>
        </w:rPr>
      </w:pPr>
      <w:r w:rsidRPr="002F03D5">
        <w:rPr>
          <w:rFonts w:asciiTheme="minorHAnsi" w:eastAsia="Times New Roman" w:hAnsiTheme="minorHAnsi" w:cstheme="minorHAnsi"/>
          <w:lang w:val="pl-PL"/>
        </w:rPr>
        <w:t>45232130-2  Roboty budowlane w zakresie rurociągów do odprowadzenia wody burzowej</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2"/>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Pr="004B763E">
        <w:rPr>
          <w:rFonts w:asciiTheme="minorHAnsi" w:eastAsiaTheme="minorHAnsi" w:hAnsiTheme="minorHAnsi" w:cstheme="minorHAnsi"/>
          <w:kern w:val="3"/>
          <w:lang w:val="pl-PL" w:eastAsia="x-none"/>
        </w:rPr>
        <w:t xml:space="preserve"> (w tym trudności związane z organizacją ruchu, zapewnienie sprawnej i bezpiecznej możliwości komunikacji i poruszania się po drodze mieszkańców rejonu objętego zamówieniem i podziałem odpowiedzialności za te elementy);</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lastRenderedPageBreak/>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135663018"/>
      <w:r w:rsidRPr="008870AA">
        <w:rPr>
          <w:rFonts w:asciiTheme="minorHAnsi" w:hAnsiTheme="minorHAnsi" w:cstheme="minorHAnsi"/>
          <w:b/>
          <w:bCs/>
          <w:sz w:val="24"/>
          <w:szCs w:val="24"/>
        </w:rPr>
        <w:t>V. Wizja lokalna</w:t>
      </w:r>
      <w:bookmarkEnd w:id="16"/>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7" w:name="_Toc135663019"/>
      <w:r w:rsidRPr="008870AA">
        <w:rPr>
          <w:rFonts w:asciiTheme="minorHAnsi" w:hAnsiTheme="minorHAnsi" w:cstheme="minorHAnsi"/>
          <w:b/>
          <w:bCs/>
          <w:sz w:val="24"/>
          <w:szCs w:val="24"/>
        </w:rPr>
        <w:t>VI. Podwykonawstwo</w:t>
      </w:r>
      <w:bookmarkEnd w:id="17"/>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5476A8EA"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F15A45">
        <w:rPr>
          <w:rFonts w:asciiTheme="minorHAnsi" w:hAnsiTheme="minorHAnsi" w:cstheme="minorHAnsi"/>
          <w:b/>
          <w:bCs/>
        </w:rPr>
        <w:t>11</w:t>
      </w:r>
      <w:r w:rsidR="00F67BBB">
        <w:rPr>
          <w:rFonts w:asciiTheme="minorHAnsi" w:hAnsiTheme="minorHAnsi" w:cstheme="minorHAnsi"/>
          <w:b/>
          <w:bCs/>
        </w:rPr>
        <w:t>0</w:t>
      </w:r>
      <w:r w:rsidR="00F15A45">
        <w:rPr>
          <w:rFonts w:asciiTheme="minorHAnsi" w:hAnsiTheme="minorHAnsi" w:cstheme="minorHAnsi"/>
          <w:b/>
          <w:bCs/>
        </w:rPr>
        <w:t xml:space="preserve"> </w:t>
      </w:r>
      <w:r w:rsidR="00F67BBB">
        <w:rPr>
          <w:rFonts w:asciiTheme="minorHAnsi" w:hAnsiTheme="minorHAnsi" w:cstheme="minorHAnsi"/>
          <w:b/>
          <w:bCs/>
        </w:rPr>
        <w:t>dni</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8"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8"/>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9"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F0363CD" w14:textId="2D9688CC" w:rsidR="004467CF" w:rsidRPr="004467CF" w:rsidRDefault="00835CAF" w:rsidP="004467CF">
      <w:pPr>
        <w:pStyle w:val="Akapitzlist"/>
        <w:numPr>
          <w:ilvl w:val="1"/>
          <w:numId w:val="14"/>
        </w:numPr>
        <w:ind w:left="851" w:hanging="327"/>
        <w:jc w:val="both"/>
        <w:rPr>
          <w:rFonts w:eastAsiaTheme="minorHAnsi" w:cs="Calibri"/>
          <w:b/>
          <w:bCs/>
        </w:rPr>
      </w:pPr>
      <w:bookmarkStart w:id="20" w:name="_Hlk101946125"/>
      <w:bookmarkStart w:id="21" w:name="_Hlk128573437"/>
      <w:bookmarkStart w:id="22" w:name="_Hlk5877927"/>
      <w:bookmarkStart w:id="23" w:name="_Hlk118800681"/>
      <w:bookmarkStart w:id="24" w:name="_Hlk87001286"/>
      <w:bookmarkStart w:id="25" w:name="_Hlk8700584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20"/>
      <w:r w:rsidR="009429AE" w:rsidRPr="00957171">
        <w:rPr>
          <w:rFonts w:cs="Calibri"/>
        </w:rPr>
        <w:t xml:space="preserve">, </w:t>
      </w:r>
      <w:r w:rsidR="004467CF" w:rsidRPr="004467CF">
        <w:rPr>
          <w:b/>
          <w:bCs/>
        </w:rPr>
        <w:t xml:space="preserve">należycie wykonał co najmniej </w:t>
      </w:r>
      <w:r w:rsidR="004467CF" w:rsidRPr="004467CF">
        <w:rPr>
          <w:b/>
          <w:bCs/>
        </w:rPr>
        <w:lastRenderedPageBreak/>
        <w:t>jedną robotę budowlaną (zrealizowaną w ramach jednej umowy) o wartości co najmniej  </w:t>
      </w:r>
      <w:r w:rsidR="00CF1478">
        <w:rPr>
          <w:b/>
          <w:bCs/>
        </w:rPr>
        <w:t>1</w:t>
      </w:r>
      <w:r w:rsidR="004467CF" w:rsidRPr="004467CF">
        <w:rPr>
          <w:b/>
          <w:bCs/>
        </w:rPr>
        <w:t xml:space="preserve">.000.000,00 zł brutto, obejmującą co najmniej budowę lub przebudowę drogi/dróg </w:t>
      </w:r>
      <w:r w:rsidR="000768E5">
        <w:rPr>
          <w:b/>
          <w:bCs/>
        </w:rPr>
        <w:t>wraz z kanalizacją deszczową lub sanitarną</w:t>
      </w:r>
      <w:r w:rsidR="003B78E9">
        <w:rPr>
          <w:b/>
          <w:bCs/>
        </w:rPr>
        <w:t>.</w:t>
      </w:r>
    </w:p>
    <w:p w14:paraId="601874DB" w14:textId="77777777" w:rsidR="004467CF" w:rsidRDefault="004467CF" w:rsidP="004467CF">
      <w:pPr>
        <w:pStyle w:val="Akapitzlist"/>
        <w:spacing w:after="0" w:line="312" w:lineRule="auto"/>
        <w:ind w:left="454"/>
        <w:jc w:val="both"/>
      </w:pPr>
    </w:p>
    <w:bookmarkEnd w:id="21"/>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6"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6"/>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66C49871" w14:textId="487CDCC4" w:rsidR="000E7830" w:rsidRDefault="00866103" w:rsidP="00A44357">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A44357">
        <w:rPr>
          <w:rFonts w:asciiTheme="minorHAnsi" w:eastAsia="Times New Roman" w:hAnsiTheme="minorHAnsi" w:cstheme="minorHAnsi"/>
          <w:b/>
          <w:szCs w:val="24"/>
        </w:rPr>
        <w:t>.</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9"/>
    <w:bookmarkEnd w:id="23"/>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7" w:name="_Hlk53567073"/>
    </w:p>
    <w:bookmarkEnd w:id="27"/>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w:t>
      </w:r>
      <w:r>
        <w:rPr>
          <w:rFonts w:asciiTheme="minorHAnsi" w:eastAsia="Times New Roman" w:hAnsiTheme="minorHAnsi" w:cstheme="minorHAnsi"/>
        </w:rPr>
        <w:lastRenderedPageBreak/>
        <w:t>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4"/>
    <w:bookmarkEnd w:id="25"/>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8" w:name="_Toc135663021"/>
      <w:r w:rsidRPr="008870AA">
        <w:rPr>
          <w:rFonts w:asciiTheme="minorHAnsi" w:hAnsiTheme="minorHAnsi" w:cstheme="minorHAnsi"/>
          <w:b/>
          <w:bCs/>
          <w:sz w:val="24"/>
          <w:szCs w:val="24"/>
        </w:rPr>
        <w:t>IX. Podstawy wykluczenia z postępowania</w:t>
      </w:r>
      <w:bookmarkEnd w:id="2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5"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6"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7"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8"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9"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20"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2"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3"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4"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5"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6"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9"/>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lastRenderedPageBreak/>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0" w:name="_Toc135663023"/>
      <w:r w:rsidRPr="008870AA">
        <w:rPr>
          <w:rFonts w:asciiTheme="minorHAnsi" w:hAnsiTheme="minorHAnsi" w:cstheme="minorHAnsi"/>
          <w:b/>
          <w:bCs/>
          <w:sz w:val="22"/>
          <w:szCs w:val="22"/>
        </w:rPr>
        <w:t>XI. Poleganie na zasobach innych podmiotów</w:t>
      </w:r>
      <w:bookmarkEnd w:id="30"/>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1" w:name="_Hlk65499459"/>
      <w:r w:rsidRPr="008870AA">
        <w:rPr>
          <w:rFonts w:asciiTheme="minorHAnsi" w:hAnsiTheme="minorHAnsi" w:cstheme="minorHAnsi"/>
        </w:rPr>
        <w:t xml:space="preserve">Wykonawca powołuje się na jego zasoby, </w:t>
      </w:r>
      <w:bookmarkEnd w:id="31"/>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2"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2"/>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3" w:name="_Hlk63772459"/>
      <w:r w:rsidRPr="008870AA">
        <w:rPr>
          <w:rFonts w:asciiTheme="minorHAnsi" w:hAnsiTheme="minorHAnsi" w:cstheme="minorHAnsi"/>
        </w:rPr>
        <w:t xml:space="preserve">Wykonawcy wspólnie ubiegający się o udzielenie zamówienia dołączają do oferty </w:t>
      </w:r>
      <w:bookmarkStart w:id="34"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3"/>
    <w:bookmarkEnd w:id="34"/>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35663025"/>
      <w:bookmarkStart w:id="36"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5"/>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7"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9"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8"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30" w:history="1">
        <w:r w:rsidRPr="008870AA">
          <w:rPr>
            <w:rStyle w:val="Hipercze"/>
            <w:rFonts w:asciiTheme="minorHAnsi" w:hAnsiTheme="minorHAnsi" w:cstheme="minorHAnsi"/>
          </w:rPr>
          <w:t>magdalena.pawlicka@dopiewo.pl</w:t>
        </w:r>
      </w:hyperlink>
    </w:p>
    <w:bookmarkEnd w:id="38"/>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1">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2">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9"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9"/>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5"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7"/>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135663026"/>
      <w:bookmarkStart w:id="41" w:name="_Hlk66110879"/>
      <w:r w:rsidRPr="008870AA">
        <w:rPr>
          <w:rFonts w:asciiTheme="minorHAnsi" w:hAnsiTheme="minorHAnsi" w:cstheme="minorHAnsi"/>
          <w:b/>
          <w:bCs/>
          <w:sz w:val="24"/>
          <w:szCs w:val="24"/>
        </w:rPr>
        <w:t>XIV. Opis sposobu przygotowania ofert oraz dokumentów wymaganych przez Zamawiającego w SWZ</w:t>
      </w:r>
      <w:bookmarkEnd w:id="40"/>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2" w:name="_Hlk65238743"/>
      <w:r w:rsidRPr="006506A6">
        <w:rPr>
          <w:rFonts w:asciiTheme="minorHAnsi" w:hAnsiTheme="minorHAnsi" w:cstheme="minorHAnsi"/>
        </w:rPr>
        <w:t xml:space="preserve">oświadczenie o niepodleganiu wykluczeniu składa </w:t>
      </w:r>
      <w:bookmarkEnd w:id="42"/>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3"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w:t>
      </w:r>
      <w:r w:rsidRPr="008870AA">
        <w:rPr>
          <w:rFonts w:asciiTheme="minorHAnsi" w:hAnsiTheme="minorHAnsi" w:cstheme="minorHAnsi"/>
          <w:sz w:val="22"/>
          <w:szCs w:val="22"/>
        </w:rPr>
        <w:lastRenderedPageBreak/>
        <w:t xml:space="preserve">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1"/>
    <w:bookmarkEnd w:id="43"/>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4" w:name="_Hlk80957306"/>
      <w:r w:rsidRPr="008870AA">
        <w:rPr>
          <w:rFonts w:asciiTheme="minorHAnsi" w:hAnsiTheme="minorHAnsi" w:cstheme="minorHAnsi"/>
        </w:rPr>
        <w:t>muszą zostać podpisane elektronicznym kwalifikowanym podpisem lub podpisem zaufanym lub podpisem osobistym</w:t>
      </w:r>
      <w:bookmarkEnd w:id="44"/>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7">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9">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40">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41">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2">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3"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5" w:name="_Toc135663027"/>
      <w:bookmarkEnd w:id="36"/>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5"/>
    </w:p>
    <w:p w14:paraId="43128FE9" w14:textId="079B7C44"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A44357">
        <w:rPr>
          <w:rFonts w:asciiTheme="minorHAnsi" w:eastAsia="Times New Roman" w:hAnsiTheme="minorHAnsi" w:cstheme="minorHAnsi"/>
        </w:rPr>
        <w:t>, w tym z wydzielą kwotą brutto za budowę oświetlenia drogowego (pozycje z przedmiaru 35-64).</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6"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7"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7"/>
    </w:p>
    <w:bookmarkEnd w:id="46"/>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8"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8"/>
    </w:p>
    <w:p w14:paraId="5A3A178C" w14:textId="6F21B6F1"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DE7C30">
        <w:rPr>
          <w:rFonts w:asciiTheme="minorHAnsi" w:hAnsiTheme="minorHAnsi" w:cstheme="minorHAnsi"/>
          <w:b/>
          <w:bCs/>
        </w:rPr>
        <w:t>1</w:t>
      </w:r>
      <w:r w:rsidR="00C73612">
        <w:rPr>
          <w:rFonts w:asciiTheme="minorHAnsi" w:hAnsiTheme="minorHAnsi" w:cstheme="minorHAnsi"/>
          <w:b/>
          <w:bCs/>
        </w:rPr>
        <w:t>0</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0533BD74"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E7C30">
        <w:rPr>
          <w:rFonts w:asciiTheme="minorHAnsi" w:hAnsiTheme="minorHAnsi" w:cstheme="minorHAnsi"/>
          <w:b/>
          <w:bCs/>
        </w:rPr>
        <w:t>14</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DE7C30">
        <w:rPr>
          <w:rFonts w:asciiTheme="minorHAnsi" w:hAnsiTheme="minorHAnsi" w:cstheme="minorHAnsi"/>
          <w:b/>
          <w:bCs/>
        </w:rPr>
        <w:t>Zagospodarowanie terenu - Konarzewo</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135663029"/>
      <w:r w:rsidRPr="008870AA">
        <w:rPr>
          <w:rFonts w:asciiTheme="minorHAnsi" w:hAnsiTheme="minorHAnsi" w:cstheme="minorHAnsi"/>
          <w:b/>
          <w:bCs/>
          <w:sz w:val="22"/>
          <w:szCs w:val="22"/>
        </w:rPr>
        <w:t>XVII. Termin związania ofertą</w:t>
      </w:r>
      <w:bookmarkEnd w:id="49"/>
    </w:p>
    <w:p w14:paraId="68E3EA92" w14:textId="2F95E069"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000CF">
        <w:rPr>
          <w:rFonts w:asciiTheme="minorHAnsi" w:hAnsiTheme="minorHAnsi" w:cstheme="minorHAnsi"/>
          <w:b/>
          <w:bCs/>
          <w:highlight w:val="yellow"/>
        </w:rPr>
        <w:t>25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000CF">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8870AA">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0"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0"/>
    </w:p>
    <w:p w14:paraId="31387002" w14:textId="5D5BC548"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F214CA">
        <w:rPr>
          <w:rFonts w:asciiTheme="minorHAnsi" w:hAnsiTheme="minorHAnsi" w:cstheme="minorHAnsi"/>
          <w:b/>
          <w:bCs/>
          <w:highlight w:val="yellow"/>
        </w:rPr>
        <w:t>2</w:t>
      </w:r>
      <w:r w:rsidR="00DA48CC">
        <w:rPr>
          <w:rFonts w:asciiTheme="minorHAnsi" w:hAnsiTheme="minorHAnsi" w:cstheme="minorHAnsi"/>
          <w:b/>
          <w:bCs/>
          <w:highlight w:val="yellow"/>
        </w:rPr>
        <w:t>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F214CA">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6">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7">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8">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1"/>
      <w:r w:rsidRPr="008870AA">
        <w:rPr>
          <w:rFonts w:asciiTheme="minorHAnsi" w:hAnsiTheme="minorHAnsi" w:cstheme="minorHAnsi"/>
          <w:b/>
          <w:bCs/>
          <w:sz w:val="22"/>
          <w:szCs w:val="22"/>
        </w:rPr>
        <w:t>XIX. Otwarcie ofert</w:t>
      </w:r>
      <w:bookmarkEnd w:id="51"/>
    </w:p>
    <w:p w14:paraId="792AD29B" w14:textId="41A6E3A7"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F214CA">
        <w:rPr>
          <w:rFonts w:asciiTheme="minorHAnsi" w:hAnsiTheme="minorHAnsi" w:cstheme="minorHAnsi"/>
          <w:b/>
          <w:bCs/>
          <w:highlight w:val="yellow"/>
        </w:rPr>
        <w:t>2</w:t>
      </w:r>
      <w:r w:rsidR="00DA48CC">
        <w:rPr>
          <w:rFonts w:asciiTheme="minorHAnsi" w:hAnsiTheme="minorHAnsi" w:cstheme="minorHAnsi"/>
          <w:b/>
          <w:bCs/>
          <w:highlight w:val="yellow"/>
        </w:rPr>
        <w:t>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F214CA">
        <w:rPr>
          <w:rFonts w:asciiTheme="minorHAnsi" w:hAnsiTheme="minorHAnsi" w:cstheme="minorHAnsi"/>
          <w:b/>
          <w:bCs/>
          <w:highlight w:val="yellow"/>
        </w:rPr>
        <w:t>7</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lastRenderedPageBreak/>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9">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2" w:name="_Toc135663032"/>
      <w:r w:rsidRPr="008870AA">
        <w:rPr>
          <w:rFonts w:asciiTheme="minorHAnsi" w:hAnsiTheme="minorHAnsi" w:cstheme="minorHAnsi"/>
          <w:b/>
          <w:bCs/>
          <w:sz w:val="24"/>
          <w:szCs w:val="24"/>
        </w:rPr>
        <w:t>XX. Opis kryteriów oceny ofert wraz z podaniem wag tych kryteriów i sposobu oceny ofert</w:t>
      </w:r>
      <w:bookmarkEnd w:id="52"/>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3"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lastRenderedPageBreak/>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3"/>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Toc135663033"/>
      <w:r w:rsidRPr="008870AA">
        <w:rPr>
          <w:rFonts w:asciiTheme="minorHAnsi" w:hAnsiTheme="minorHAnsi" w:cstheme="minorHAnsi"/>
          <w:b/>
          <w:bCs/>
          <w:sz w:val="22"/>
          <w:szCs w:val="22"/>
        </w:rPr>
        <w:t>XXI. Wymagania dotyczące zabezpieczenia należytego wykonania umowy.</w:t>
      </w:r>
      <w:bookmarkEnd w:id="54"/>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5"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5"/>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6" w:name="_Toc135663035"/>
      <w:r w:rsidRPr="008870AA">
        <w:rPr>
          <w:rFonts w:asciiTheme="minorHAnsi" w:hAnsiTheme="minorHAnsi" w:cstheme="minorHAnsi"/>
          <w:b/>
          <w:bCs/>
          <w:sz w:val="24"/>
          <w:szCs w:val="24"/>
        </w:rPr>
        <w:t>XXIII. Informacje o treści zawieranej umowy oraz możliwości jej zmiany</w:t>
      </w:r>
      <w:bookmarkEnd w:id="56"/>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7" w:name="_Toc135663036"/>
      <w:r w:rsidRPr="008870AA">
        <w:rPr>
          <w:rFonts w:asciiTheme="minorHAnsi" w:hAnsiTheme="minorHAnsi" w:cstheme="minorHAnsi"/>
          <w:b/>
          <w:bCs/>
          <w:sz w:val="22"/>
          <w:szCs w:val="22"/>
        </w:rPr>
        <w:t>XXIV. Pouczenie o środkach ochrony prawnej przysługujących Wykonawcy</w:t>
      </w:r>
      <w:bookmarkEnd w:id="57"/>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8" w:name="_uarrfy5kozla" w:colFirst="0" w:colLast="0"/>
      <w:bookmarkStart w:id="59" w:name="_Toc135663037"/>
      <w:bookmarkEnd w:id="58"/>
      <w:r w:rsidRPr="008870AA">
        <w:rPr>
          <w:rFonts w:asciiTheme="minorHAnsi" w:hAnsiTheme="minorHAnsi" w:cstheme="minorHAnsi"/>
          <w:b/>
          <w:bCs/>
          <w:sz w:val="22"/>
          <w:szCs w:val="22"/>
        </w:rPr>
        <w:t>XXV. Spis załączników</w:t>
      </w:r>
      <w:bookmarkEnd w:id="59"/>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sectPr w:rsidR="001A6830" w:rsidSect="000C77A6">
      <w:headerReference w:type="default" r:id="rId50"/>
      <w:footerReference w:type="default" r:id="rId51"/>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D0A" w14:textId="77777777" w:rsidR="004A2D92" w:rsidRDefault="004A2D92" w:rsidP="008870AA">
      <w:pPr>
        <w:spacing w:line="240" w:lineRule="auto"/>
      </w:pPr>
      <w:r>
        <w:separator/>
      </w:r>
    </w:p>
  </w:endnote>
  <w:endnote w:type="continuationSeparator" w:id="0">
    <w:p w14:paraId="0FF53991" w14:textId="77777777" w:rsidR="004A2D92" w:rsidRDefault="004A2D9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49FD" w14:textId="77777777" w:rsidR="004A2D92" w:rsidRDefault="004A2D92" w:rsidP="008870AA">
      <w:pPr>
        <w:spacing w:line="240" w:lineRule="auto"/>
      </w:pPr>
      <w:r>
        <w:separator/>
      </w:r>
    </w:p>
  </w:footnote>
  <w:footnote w:type="continuationSeparator" w:id="0">
    <w:p w14:paraId="53B237D9" w14:textId="77777777" w:rsidR="004A2D92" w:rsidRDefault="004A2D92"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A3C90C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14</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7"/>
  </w:num>
  <w:num w:numId="5" w16cid:durableId="2021153379">
    <w:abstractNumId w:val="27"/>
  </w:num>
  <w:num w:numId="6" w16cid:durableId="74474843">
    <w:abstractNumId w:val="36"/>
  </w:num>
  <w:num w:numId="7" w16cid:durableId="378820442">
    <w:abstractNumId w:val="33"/>
  </w:num>
  <w:num w:numId="8" w16cid:durableId="1056702684">
    <w:abstractNumId w:val="25"/>
  </w:num>
  <w:num w:numId="9" w16cid:durableId="1452360499">
    <w:abstractNumId w:val="11"/>
  </w:num>
  <w:num w:numId="10" w16cid:durableId="111361321">
    <w:abstractNumId w:val="15"/>
  </w:num>
  <w:num w:numId="11" w16cid:durableId="2896665">
    <w:abstractNumId w:val="31"/>
  </w:num>
  <w:num w:numId="12" w16cid:durableId="1527327384">
    <w:abstractNumId w:val="0"/>
  </w:num>
  <w:num w:numId="13" w16cid:durableId="304244796">
    <w:abstractNumId w:val="32"/>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4"/>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30"/>
  </w:num>
  <w:num w:numId="29" w16cid:durableId="951744024">
    <w:abstractNumId w:val="13"/>
  </w:num>
  <w:num w:numId="30" w16cid:durableId="655188542">
    <w:abstractNumId w:val="2"/>
  </w:num>
  <w:num w:numId="31" w16cid:durableId="1107509289">
    <w:abstractNumId w:val="6"/>
  </w:num>
  <w:num w:numId="32" w16cid:durableId="791050100">
    <w:abstractNumId w:val="35"/>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 w:numId="39" w16cid:durableId="7813871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91A43"/>
    <w:rsid w:val="00094A07"/>
    <w:rsid w:val="000A6AF4"/>
    <w:rsid w:val="000B62AF"/>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A44"/>
    <w:rsid w:val="00297766"/>
    <w:rsid w:val="002A54B4"/>
    <w:rsid w:val="002B6FFB"/>
    <w:rsid w:val="002D15D6"/>
    <w:rsid w:val="002D4F56"/>
    <w:rsid w:val="002D6811"/>
    <w:rsid w:val="002E39C4"/>
    <w:rsid w:val="002F03D5"/>
    <w:rsid w:val="0030371C"/>
    <w:rsid w:val="00304225"/>
    <w:rsid w:val="00310EE6"/>
    <w:rsid w:val="00311772"/>
    <w:rsid w:val="00311B20"/>
    <w:rsid w:val="00320FE1"/>
    <w:rsid w:val="00323450"/>
    <w:rsid w:val="00336B79"/>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3B61"/>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2D92"/>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264E3"/>
    <w:rsid w:val="008350FA"/>
    <w:rsid w:val="00835CAF"/>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27CD8"/>
    <w:rsid w:val="00A44357"/>
    <w:rsid w:val="00A55B7B"/>
    <w:rsid w:val="00A60262"/>
    <w:rsid w:val="00A63219"/>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9438C"/>
    <w:rsid w:val="00D95E68"/>
    <w:rsid w:val="00DA48CC"/>
    <w:rsid w:val="00DC1E52"/>
    <w:rsid w:val="00DC7156"/>
    <w:rsid w:val="00DE365A"/>
    <w:rsid w:val="00DE7C30"/>
    <w:rsid w:val="00E025ED"/>
    <w:rsid w:val="00E129F4"/>
    <w:rsid w:val="00E147BC"/>
    <w:rsid w:val="00E24987"/>
    <w:rsid w:val="00E31ECE"/>
    <w:rsid w:val="00E36E74"/>
    <w:rsid w:val="00E36ECF"/>
    <w:rsid w:val="00E40F1A"/>
    <w:rsid w:val="00E41824"/>
    <w:rsid w:val="00E51A42"/>
    <w:rsid w:val="00E563E1"/>
    <w:rsid w:val="00E603A7"/>
    <w:rsid w:val="00E621AC"/>
    <w:rsid w:val="00E84AFF"/>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7FA2"/>
    <w:rsid w:val="00F67BBB"/>
    <w:rsid w:val="00F86CE1"/>
    <w:rsid w:val="00F87BDC"/>
    <w:rsid w:val="00FA4897"/>
    <w:rsid w:val="00FA554C"/>
    <w:rsid w:val="00FA5986"/>
    <w:rsid w:val="00FA7D48"/>
    <w:rsid w:val="00FC148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opiewo"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nccert.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dopiewo" TargetMode="External"/><Relationship Id="rId11" Type="http://schemas.openxmlformats.org/officeDocument/2006/relationships/hyperlink" Target="https://bip.dopiewo.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dopiewo"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https://www.starostwo.lezajsk.pl/wp-content/uploads/2021/09/rfil.jp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40dopiewo.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agdalena.pawlicka@dopiewo.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agdalena.pawlicka@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27</Pages>
  <Words>11641</Words>
  <Characters>69851</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230</cp:revision>
  <cp:lastPrinted>2023-05-23T12:43:00Z</cp:lastPrinted>
  <dcterms:created xsi:type="dcterms:W3CDTF">2021-12-01T12:49:00Z</dcterms:created>
  <dcterms:modified xsi:type="dcterms:W3CDTF">2023-07-12T12:07:00Z</dcterms:modified>
</cp:coreProperties>
</file>