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B0181C">
        <w:rPr>
          <w:rFonts w:ascii="Tahoma" w:eastAsia="Times New Roman" w:hAnsi="Tahoma" w:cs="Tahoma"/>
          <w:b/>
          <w:color w:val="FF5050"/>
          <w:sz w:val="18"/>
          <w:szCs w:val="18"/>
          <w:u w:val="single"/>
          <w:lang w:eastAsia="pl-PL"/>
        </w:rPr>
        <w:t>10</w:t>
      </w:r>
      <w:r w:rsidR="008A2934">
        <w:rPr>
          <w:rFonts w:ascii="Tahoma" w:eastAsia="Times New Roman" w:hAnsi="Tahoma" w:cs="Tahoma"/>
          <w:b/>
          <w:color w:val="FF5050"/>
          <w:sz w:val="18"/>
          <w:szCs w:val="18"/>
          <w:u w:val="single"/>
          <w:lang w:eastAsia="pl-PL"/>
        </w:rPr>
        <w:t>/2025</w:t>
      </w:r>
    </w:p>
    <w:p w:rsidR="00557A53" w:rsidRPr="001764EA" w:rsidRDefault="004A2CD0"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10.01.</w:t>
      </w:r>
      <w:r w:rsidR="00B0181C">
        <w:rPr>
          <w:rFonts w:ascii="Tahoma" w:eastAsia="Times New Roman" w:hAnsi="Tahoma" w:cs="Tahoma"/>
          <w:b/>
          <w:color w:val="FF5050"/>
          <w:sz w:val="18"/>
          <w:szCs w:val="18"/>
          <w:u w:val="single"/>
          <w:lang w:eastAsia="pl-PL"/>
        </w:rPr>
        <w:t>2025</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B0181C" w:rsidRDefault="00557A53" w:rsidP="00B0181C">
      <w:pPr>
        <w:spacing w:after="0"/>
        <w:jc w:val="both"/>
        <w:rPr>
          <w:rFonts w:ascii="Tahoma" w:eastAsia="Times New Roman" w:hAnsi="Tahoma" w:cs="Tahoma"/>
          <w:color w:val="FF0000"/>
          <w:lang w:eastAsia="pl-PL"/>
        </w:rPr>
      </w:pPr>
      <w:r w:rsidRPr="001764EA">
        <w:rPr>
          <w:rFonts w:ascii="Tahoma" w:eastAsia="Times New Roman" w:hAnsi="Tahoma" w:cs="Tahoma"/>
          <w:b/>
          <w:sz w:val="18"/>
          <w:szCs w:val="18"/>
          <w:lang w:eastAsia="pl-PL"/>
        </w:rPr>
        <w:t>zaprasza do składania ofert na</w:t>
      </w:r>
      <w:r w:rsidR="0051211F" w:rsidRPr="00B0181C">
        <w:rPr>
          <w:rFonts w:ascii="Tahoma" w:eastAsia="Times New Roman" w:hAnsi="Tahoma" w:cs="Tahoma"/>
          <w:b/>
          <w:lang w:eastAsia="pl-PL"/>
        </w:rPr>
        <w:t>:</w:t>
      </w:r>
      <w:r w:rsidRPr="00B0181C">
        <w:rPr>
          <w:rFonts w:ascii="Tahoma" w:eastAsia="Times New Roman" w:hAnsi="Tahoma" w:cs="Tahoma"/>
          <w:b/>
          <w:color w:val="FF0000"/>
          <w:lang w:eastAsia="pl-PL"/>
        </w:rPr>
        <w:t xml:space="preserve"> </w:t>
      </w:r>
      <w:r w:rsidR="00B0181C" w:rsidRPr="00B0181C">
        <w:rPr>
          <w:rFonts w:ascii="Times New Roman" w:eastAsia="Times New Roman" w:hAnsi="Times New Roman" w:cs="Times New Roman"/>
          <w:b/>
          <w:bCs/>
          <w:color w:val="FF0000"/>
          <w:lang w:eastAsia="pl-PL"/>
        </w:rPr>
        <w:t>Usługi w zakresie napraw i konserwacji pojazdów grupy VW dla JW. 4101 w Lublińcu</w:t>
      </w: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B0181C" w:rsidRPr="00B0181C" w:rsidRDefault="00B0181C" w:rsidP="00B0181C">
      <w:pPr>
        <w:spacing w:after="0"/>
        <w:ind w:left="426"/>
        <w:jc w:val="both"/>
        <w:rPr>
          <w:rFonts w:ascii="Tahoma" w:eastAsia="Times New Roman" w:hAnsi="Tahoma" w:cs="Tahoma"/>
          <w:color w:val="FF0000"/>
          <w:lang w:eastAsia="pl-PL"/>
        </w:rPr>
      </w:pPr>
      <w:r>
        <w:rPr>
          <w:rFonts w:ascii="Tahoma" w:eastAsia="Times New Roman" w:hAnsi="Tahoma" w:cs="Tahoma"/>
          <w:sz w:val="18"/>
          <w:szCs w:val="18"/>
          <w:lang w:eastAsia="pl-PL"/>
        </w:rPr>
        <w:t>Przedmiotem zamówienia są</w:t>
      </w:r>
      <w:r w:rsidR="00557A53" w:rsidRPr="001764EA">
        <w:rPr>
          <w:rFonts w:ascii="Tahoma" w:eastAsia="Times New Roman" w:hAnsi="Tahoma" w:cs="Tahoma"/>
          <w:sz w:val="18"/>
          <w:szCs w:val="18"/>
          <w:lang w:eastAsia="pl-PL"/>
        </w:rPr>
        <w:t xml:space="preserve"> </w:t>
      </w:r>
      <w:r w:rsidRPr="00B0181C">
        <w:rPr>
          <w:rFonts w:ascii="Times New Roman" w:eastAsia="Times New Roman" w:hAnsi="Times New Roman" w:cs="Times New Roman"/>
          <w:b/>
          <w:bCs/>
          <w:color w:val="FF0000"/>
          <w:lang w:eastAsia="pl-PL"/>
        </w:rPr>
        <w:t>Usługi w zakresie napraw i konserwacji pojazdów grupy VW dla JW. 4101 w Lublińcu</w:t>
      </w:r>
    </w:p>
    <w:p w:rsidR="00557A53" w:rsidRPr="001764EA" w:rsidRDefault="00557A53" w:rsidP="00B0181C">
      <w:pPr>
        <w:spacing w:after="0"/>
        <w:ind w:left="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r w:rsidR="00B0181C">
        <w:rPr>
          <w:rFonts w:ascii="Tahoma" w:eastAsia="Times New Roman" w:hAnsi="Tahoma" w:cs="Tahoma"/>
          <w:b/>
          <w:sz w:val="18"/>
          <w:szCs w:val="18"/>
          <w:u w:val="single"/>
          <w:lang w:eastAsia="pl-PL"/>
        </w:rPr>
        <w:t xml:space="preserve"> oraz załączniku nr 10 do SWZ</w:t>
      </w:r>
      <w:r w:rsidRPr="001764EA">
        <w:rPr>
          <w:rFonts w:ascii="Tahoma" w:eastAsia="Times New Roman" w:hAnsi="Tahoma" w:cs="Tahoma"/>
          <w:b/>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lastRenderedPageBreak/>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D2525B"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t>
      </w:r>
      <w:r w:rsidR="008A2934">
        <w:rPr>
          <w:rFonts w:ascii="Tahoma" w:eastAsia="Times New Roman" w:hAnsi="Tahoma" w:cs="Tahoma"/>
          <w:sz w:val="18"/>
          <w:szCs w:val="18"/>
          <w:lang w:eastAsia="pl-PL"/>
        </w:rPr>
        <w:t>nie dopuszcza składania</w:t>
      </w:r>
      <w:r w:rsidR="00557A53" w:rsidRPr="001764EA">
        <w:rPr>
          <w:rFonts w:ascii="Tahoma" w:eastAsia="Times New Roman" w:hAnsi="Tahoma" w:cs="Tahoma"/>
          <w:sz w:val="18"/>
          <w:szCs w:val="18"/>
          <w:lang w:eastAsia="pl-PL"/>
        </w:rPr>
        <w:t xml:space="preserve"> ofert częściowych</w:t>
      </w:r>
      <w:r w:rsidR="008A2934">
        <w:rPr>
          <w:rFonts w:ascii="Tahoma" w:eastAsia="Times New Roman" w:hAnsi="Tahoma" w:cs="Tahoma"/>
          <w:sz w:val="18"/>
          <w:szCs w:val="18"/>
          <w:lang w:eastAsia="pl-PL"/>
        </w:rPr>
        <w:t>.</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293A25" w:rsidRDefault="00506EDA" w:rsidP="00877673">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51211F" w:rsidRPr="00E269E2">
        <w:rPr>
          <w:rFonts w:ascii="Tahoma" w:eastAsia="Times New Roman" w:hAnsi="Tahoma" w:cs="Tahoma"/>
          <w:sz w:val="18"/>
          <w:szCs w:val="18"/>
          <w:lang w:eastAsia="pl-PL"/>
        </w:rPr>
        <w:t>podpisania umowy</w:t>
      </w:r>
      <w:r w:rsidR="00790E6B" w:rsidRPr="00E269E2">
        <w:rPr>
          <w:rFonts w:ascii="Tahoma" w:eastAsia="Times New Roman" w:hAnsi="Tahoma" w:cs="Tahoma"/>
          <w:sz w:val="18"/>
          <w:szCs w:val="18"/>
          <w:lang w:eastAsia="pl-PL"/>
        </w:rPr>
        <w:t xml:space="preserve"> do </w:t>
      </w:r>
      <w:r w:rsidR="00B0181C">
        <w:rPr>
          <w:rFonts w:ascii="Tahoma" w:eastAsia="Times New Roman" w:hAnsi="Tahoma" w:cs="Tahoma"/>
          <w:sz w:val="18"/>
          <w:szCs w:val="18"/>
          <w:lang w:eastAsia="pl-PL"/>
        </w:rPr>
        <w:t>19</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p>
    <w:p w:rsidR="00E269E2" w:rsidRPr="00293A25" w:rsidRDefault="00293A25" w:rsidP="002000F8">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B0181C" w:rsidRPr="00B0181C" w:rsidRDefault="00B0181C" w:rsidP="002000F8">
      <w:pPr>
        <w:pStyle w:val="Akapitzlist"/>
        <w:numPr>
          <w:ilvl w:val="0"/>
          <w:numId w:val="51"/>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B0181C">
        <w:rPr>
          <w:rFonts w:ascii="Tahoma" w:eastAsia="Times New Roman" w:hAnsi="Tahoma" w:cs="Tahoma"/>
          <w:b/>
          <w:color w:val="000000"/>
          <w:sz w:val="18"/>
          <w:szCs w:val="18"/>
          <w:lang w:eastAsia="pl-PL"/>
        </w:rPr>
        <w:t>Zamawiający zastrzega sobie możliwość skorzystania z prawa opcj</w:t>
      </w:r>
      <w:r>
        <w:rPr>
          <w:rFonts w:ascii="Tahoma" w:eastAsia="Times New Roman" w:hAnsi="Tahoma" w:cs="Tahoma"/>
          <w:b/>
          <w:color w:val="000000"/>
          <w:sz w:val="18"/>
          <w:szCs w:val="18"/>
          <w:lang w:eastAsia="pl-PL"/>
        </w:rPr>
        <w:t>i określonego w art. 441 ustawy.</w:t>
      </w:r>
    </w:p>
    <w:p w:rsidR="00B0181C" w:rsidRPr="00B0181C" w:rsidRDefault="00B0181C" w:rsidP="002000F8">
      <w:pPr>
        <w:pStyle w:val="Akapitzlist"/>
        <w:numPr>
          <w:ilvl w:val="0"/>
          <w:numId w:val="51"/>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B0181C">
        <w:rPr>
          <w:rFonts w:ascii="Tahoma" w:eastAsia="Times New Roman" w:hAnsi="Tahoma" w:cs="Tahoma"/>
          <w:color w:val="000000"/>
          <w:sz w:val="18"/>
          <w:szCs w:val="18"/>
          <w:lang w:eastAsia="pl-PL"/>
        </w:rPr>
        <w:t xml:space="preserve">Realizacja prawa opcji polegać będzie na zwiększeniu ilości </w:t>
      </w:r>
      <w:r>
        <w:rPr>
          <w:rFonts w:ascii="Tahoma" w:eastAsia="Times New Roman" w:hAnsi="Tahoma" w:cs="Tahoma"/>
          <w:color w:val="000000"/>
          <w:sz w:val="18"/>
          <w:szCs w:val="18"/>
          <w:lang w:eastAsia="pl-PL"/>
        </w:rPr>
        <w:t>usług – napraw i obsług</w:t>
      </w:r>
      <w:r w:rsidRPr="00B0181C">
        <w:rPr>
          <w:rFonts w:ascii="Tahoma" w:eastAsia="Times New Roman" w:hAnsi="Tahoma" w:cs="Tahoma"/>
          <w:color w:val="000000"/>
          <w:sz w:val="18"/>
          <w:szCs w:val="18"/>
          <w:lang w:eastAsia="pl-PL"/>
        </w:rPr>
        <w:t xml:space="preserve"> do 100% podczas trwania umowy, bądź do wykorzystania środków finansowych. </w:t>
      </w:r>
    </w:p>
    <w:p w:rsidR="00B0181C" w:rsidRPr="0018282F" w:rsidRDefault="00B0181C" w:rsidP="00B0181C">
      <w:pPr>
        <w:pStyle w:val="Akapitzlist"/>
        <w:numPr>
          <w:ilvl w:val="0"/>
          <w:numId w:val="51"/>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hAnsi="Tahoma" w:cs="Tahoma"/>
          <w:sz w:val="18"/>
          <w:szCs w:val="18"/>
        </w:rPr>
        <w:t>Realizacja zamówienia opcjonalnego nastąpi po takich samych cenach jednostkowych jak w zamówieniu podstawowym, zgodnie z ofertą złożoną przez Wykonawcę.</w:t>
      </w:r>
    </w:p>
    <w:p w:rsidR="00B0181C" w:rsidRPr="000920AE" w:rsidRDefault="00B0181C" w:rsidP="00B0181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zostać zrealizowane w terminie obowiązywania umowy, tj. do dnia </w:t>
      </w:r>
      <w:r w:rsidR="00B1525B">
        <w:rPr>
          <w:rFonts w:ascii="Tahoma" w:hAnsi="Tahoma" w:cs="Tahoma"/>
          <w:b/>
          <w:sz w:val="18"/>
          <w:szCs w:val="18"/>
        </w:rPr>
        <w:t>19</w:t>
      </w:r>
      <w:r>
        <w:rPr>
          <w:rFonts w:ascii="Tahoma" w:hAnsi="Tahoma" w:cs="Tahoma"/>
          <w:b/>
          <w:sz w:val="18"/>
          <w:szCs w:val="18"/>
        </w:rPr>
        <w:t>.12.2025</w:t>
      </w:r>
      <w:r w:rsidRPr="000920AE">
        <w:rPr>
          <w:rFonts w:ascii="Tahoma" w:hAnsi="Tahoma" w:cs="Tahoma"/>
          <w:b/>
          <w:sz w:val="18"/>
          <w:szCs w:val="18"/>
        </w:rPr>
        <w:t>r.</w:t>
      </w:r>
    </w:p>
    <w:p w:rsidR="00B0181C" w:rsidRPr="000920AE" w:rsidRDefault="00B0181C" w:rsidP="00B0181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być wykonane przez Zamawiającego w ramach jednej bądź większej liczby </w:t>
      </w:r>
      <w:r>
        <w:rPr>
          <w:rFonts w:ascii="Tahoma" w:hAnsi="Tahoma" w:cs="Tahoma"/>
          <w:sz w:val="18"/>
          <w:szCs w:val="18"/>
        </w:rPr>
        <w:t>dostaw</w:t>
      </w:r>
      <w:r w:rsidRPr="000920AE">
        <w:rPr>
          <w:rFonts w:ascii="Tahoma" w:hAnsi="Tahoma" w:cs="Tahoma"/>
          <w:sz w:val="18"/>
          <w:szCs w:val="18"/>
        </w:rPr>
        <w:t xml:space="preserve"> w ilościach określonych przez Zamawiającego.</w:t>
      </w:r>
    </w:p>
    <w:p w:rsidR="00B0181C" w:rsidRPr="000920AE" w:rsidRDefault="00B0181C" w:rsidP="00B0181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Wykonawca nie może odmówić realizacji prawa opcji, z zastrzeżeniem, iż zostało ono uruchomione nie później niż do </w:t>
      </w:r>
      <w:r>
        <w:rPr>
          <w:rFonts w:ascii="Tahoma" w:hAnsi="Tahoma" w:cs="Tahoma"/>
          <w:b/>
          <w:sz w:val="18"/>
          <w:szCs w:val="18"/>
        </w:rPr>
        <w:t>12.12.2025</w:t>
      </w:r>
      <w:r w:rsidRPr="000920AE">
        <w:rPr>
          <w:rFonts w:ascii="Tahoma" w:hAnsi="Tahoma" w:cs="Tahoma"/>
          <w:b/>
          <w:sz w:val="18"/>
          <w:szCs w:val="18"/>
        </w:rPr>
        <w:t xml:space="preserve"> r.</w:t>
      </w:r>
      <w:r w:rsidRPr="000920AE">
        <w:rPr>
          <w:rFonts w:ascii="Tahoma" w:hAnsi="Tahoma" w:cs="Tahoma"/>
          <w:sz w:val="18"/>
          <w:szCs w:val="18"/>
        </w:rPr>
        <w:t xml:space="preserve"> Odmowa realizacji zamówienia z prawa opcji uruchomionego w terminie skutkuje częściowym odstąpieniem od umowy i naliczeniem kar umownych.</w:t>
      </w:r>
    </w:p>
    <w:p w:rsidR="00B0181C" w:rsidRPr="000920AE" w:rsidRDefault="00B0181C" w:rsidP="00B0181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Dla skutecznego skorzystania z prawa opcji wymagane jest przekazanie Wykonawcy, pisemnego oświadczenia Zamawiającego o skorzystaniu z niego.</w:t>
      </w:r>
    </w:p>
    <w:p w:rsidR="00B0181C" w:rsidRPr="000920AE" w:rsidRDefault="00B0181C" w:rsidP="00B0181C">
      <w:pPr>
        <w:numPr>
          <w:ilvl w:val="0"/>
          <w:numId w:val="51"/>
        </w:numPr>
        <w:spacing w:after="0"/>
        <w:ind w:left="426" w:hanging="426"/>
        <w:contextualSpacing/>
        <w:jc w:val="both"/>
        <w:rPr>
          <w:rFonts w:ascii="Tahoma" w:hAnsi="Tahoma" w:cs="Tahoma"/>
          <w:sz w:val="18"/>
          <w:szCs w:val="18"/>
        </w:rPr>
      </w:pPr>
      <w:r w:rsidRPr="000920AE">
        <w:rPr>
          <w:rFonts w:ascii="Tahoma" w:hAnsi="Tahoma" w:cs="Tahoma"/>
          <w:sz w:val="18"/>
          <w:szCs w:val="18"/>
        </w:rPr>
        <w:t>Rozliczenie za wykonanie zamówienia z prawa opcji odbywać się będzie na zasadach określonych w Projekcie umowy załącznik nr 3 do SWZ.</w:t>
      </w:r>
    </w:p>
    <w:p w:rsidR="00557A53" w:rsidRPr="008A2934" w:rsidRDefault="00B0181C" w:rsidP="00B0181C">
      <w:pPr>
        <w:pStyle w:val="Akapitzlist"/>
        <w:numPr>
          <w:ilvl w:val="0"/>
          <w:numId w:val="50"/>
        </w:numPr>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Default="00557A53" w:rsidP="00557A53">
      <w:pPr>
        <w:spacing w:after="0"/>
        <w:jc w:val="both"/>
        <w:rPr>
          <w:rFonts w:ascii="Tahoma" w:eastAsia="Times New Roman" w:hAnsi="Tahoma" w:cs="Tahoma"/>
          <w:color w:val="000000" w:themeColor="text1"/>
          <w:sz w:val="18"/>
          <w:szCs w:val="18"/>
          <w:lang w:eastAsia="pl-PL"/>
        </w:rPr>
      </w:pP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F51500">
      <w:pPr>
        <w:numPr>
          <w:ilvl w:val="0"/>
          <w:numId w:val="51"/>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B1525B">
        <w:rPr>
          <w:rFonts w:ascii="Tahoma" w:eastAsia="Times New Roman" w:hAnsi="Tahoma" w:cs="Tahoma"/>
          <w:b/>
          <w:bCs/>
          <w:color w:val="000000"/>
          <w:sz w:val="18"/>
          <w:szCs w:val="18"/>
          <w:lang w:eastAsia="pl-PL"/>
        </w:rPr>
        <w:t>19</w:t>
      </w:r>
      <w:bookmarkStart w:id="0" w:name="_GoBack"/>
      <w:bookmarkEnd w:id="0"/>
      <w:r w:rsidR="009C7683">
        <w:rPr>
          <w:rFonts w:ascii="Tahoma" w:eastAsia="Times New Roman" w:hAnsi="Tahoma" w:cs="Tahoma"/>
          <w:b/>
          <w:bCs/>
          <w:color w:val="000000"/>
          <w:sz w:val="18"/>
          <w:szCs w:val="18"/>
          <w:lang w:eastAsia="pl-PL"/>
        </w:rPr>
        <w:t>.12</w:t>
      </w:r>
      <w:r w:rsidR="008A2934">
        <w:rPr>
          <w:rFonts w:ascii="Tahoma" w:eastAsia="Times New Roman" w:hAnsi="Tahoma" w:cs="Tahoma"/>
          <w:b/>
          <w:bCs/>
          <w:color w:val="000000"/>
          <w:sz w:val="18"/>
          <w:szCs w:val="18"/>
          <w:lang w:eastAsia="pl-PL"/>
        </w:rPr>
        <w:t>.2025</w:t>
      </w:r>
      <w:r w:rsidR="00A35C20">
        <w:rPr>
          <w:rFonts w:ascii="Tahoma" w:eastAsia="Times New Roman" w:hAnsi="Tahoma" w:cs="Tahoma"/>
          <w:b/>
          <w:bCs/>
          <w:color w:val="000000"/>
          <w:sz w:val="18"/>
          <w:szCs w:val="18"/>
          <w:lang w:eastAsia="pl-PL"/>
        </w:rPr>
        <w:t xml:space="preserve"> </w:t>
      </w:r>
      <w:r w:rsidR="00506EDA" w:rsidRPr="00E269E2">
        <w:rPr>
          <w:rFonts w:ascii="Tahoma" w:eastAsia="Times New Roman" w:hAnsi="Tahoma" w:cs="Tahoma"/>
          <w:b/>
          <w:bCs/>
          <w:color w:val="000000"/>
          <w:sz w:val="18"/>
          <w:szCs w:val="18"/>
          <w:lang w:eastAsia="pl-PL"/>
        </w:rPr>
        <w:t>r.</w:t>
      </w:r>
      <w:r w:rsidR="00E77D2B" w:rsidRPr="00E269E2">
        <w:rPr>
          <w:rFonts w:ascii="Tahoma" w:eastAsia="Times New Roman" w:hAnsi="Tahoma" w:cs="Tahoma"/>
          <w:b/>
          <w:bCs/>
          <w:color w:val="000000"/>
          <w:sz w:val="18"/>
          <w:szCs w:val="18"/>
          <w:lang w:eastAsia="pl-PL"/>
        </w:rPr>
        <w:t xml:space="preserve"> </w:t>
      </w:r>
    </w:p>
    <w:p w:rsidR="00771FAB" w:rsidRDefault="00771FAB" w:rsidP="002527BA">
      <w:pPr>
        <w:spacing w:after="0"/>
        <w:rPr>
          <w:rFonts w:ascii="Tahoma" w:eastAsia="Times New Roman" w:hAnsi="Tahoma" w:cs="Tahoma"/>
          <w:b/>
          <w:color w:val="FF5050"/>
          <w:sz w:val="18"/>
          <w:szCs w:val="18"/>
          <w:u w:val="single"/>
          <w:lang w:eastAsia="pl-PL"/>
        </w:rPr>
      </w:pPr>
    </w:p>
    <w:p w:rsidR="00771FAB" w:rsidRDefault="00771FAB" w:rsidP="00557A53">
      <w:pPr>
        <w:spacing w:after="0"/>
        <w:ind w:left="360"/>
        <w:jc w:val="center"/>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Default="00557A53" w:rsidP="00557A53">
      <w:pPr>
        <w:spacing w:after="0"/>
        <w:rPr>
          <w:rFonts w:ascii="Tahoma" w:eastAsia="Times New Roman" w:hAnsi="Tahoma" w:cs="Tahoma"/>
          <w:color w:val="FF0000"/>
          <w:sz w:val="18"/>
          <w:szCs w:val="18"/>
          <w:lang w:eastAsia="pl-PL"/>
        </w:rPr>
      </w:pP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 xml:space="preserve">w rozporządzeniu Prezesa Rady Ministrów z dnia 30 grudnia 2020 r. w sprawie sposobu sporządzania i </w:t>
      </w:r>
      <w:r w:rsidRPr="001764EA">
        <w:rPr>
          <w:rFonts w:ascii="Tahoma" w:hAnsi="Tahoma" w:cs="Tahoma"/>
          <w:sz w:val="18"/>
          <w:szCs w:val="18"/>
        </w:rPr>
        <w:lastRenderedPageBreak/>
        <w:t>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790E6B" w:rsidRPr="001764EA">
        <w:rPr>
          <w:rFonts w:ascii="Tahoma" w:hAnsi="Tahoma" w:cs="Tahoma"/>
          <w:color w:val="000000" w:themeColor="text1"/>
          <w:sz w:val="18"/>
          <w:szCs w:val="18"/>
        </w:rPr>
        <w:t>Aleksandra BREGUŁA-WYRAZ</w:t>
      </w:r>
      <w:r w:rsidR="00D130D1" w:rsidRPr="001764EA">
        <w:rPr>
          <w:rFonts w:ascii="Tahoma" w:hAnsi="Tahoma" w:cs="Tahoma"/>
          <w:color w:val="000000" w:themeColor="text1"/>
          <w:sz w:val="18"/>
          <w:szCs w:val="18"/>
        </w:rPr>
        <w:t>,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p. Patrycja JEZIOROWSKA</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926-226, 261-926-225</w:t>
      </w: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4A2CD0">
        <w:rPr>
          <w:rFonts w:ascii="Tahoma" w:hAnsi="Tahoma" w:cs="Tahoma"/>
          <w:b/>
          <w:sz w:val="18"/>
          <w:szCs w:val="18"/>
        </w:rPr>
        <w:t>18.02.2025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lastRenderedPageBreak/>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lastRenderedPageBreak/>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4A2CD0">
      <w:pPr>
        <w:pStyle w:val="Akapitzlist"/>
        <w:spacing w:after="0"/>
        <w:ind w:left="426" w:firstLine="283"/>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4A2CD0">
      <w:pPr>
        <w:pStyle w:val="Akapitzlist"/>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37444B" w:rsidRDefault="0037444B" w:rsidP="0037444B">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Dokumenty potwierdzające spełnienie warunków udziału w postępowaniu w zakresie zdolności technicznej lub zawodowej:</w:t>
      </w:r>
    </w:p>
    <w:p w:rsidR="00E43B67" w:rsidRDefault="00E43B67" w:rsidP="00E43B67">
      <w:pPr>
        <w:pStyle w:val="Akapitzlist"/>
        <w:numPr>
          <w:ilvl w:val="0"/>
          <w:numId w:val="57"/>
        </w:numPr>
        <w:spacing w:before="100" w:beforeAutospacing="1" w:after="100" w:afterAutospacing="1"/>
        <w:ind w:left="851" w:hanging="425"/>
        <w:jc w:val="both"/>
        <w:outlineLvl w:val="1"/>
        <w:rPr>
          <w:rFonts w:ascii="Times New Roman" w:eastAsia="Times New Roman" w:hAnsi="Times New Roman" w:cs="Times New Roman"/>
          <w:bCs/>
          <w:i/>
          <w:u w:val="single"/>
          <w:lang w:eastAsia="pl-PL"/>
        </w:rPr>
      </w:pPr>
      <w:r w:rsidRPr="00C80F0B">
        <w:rPr>
          <w:rFonts w:ascii="Times New Roman" w:eastAsia="Times New Roman" w:hAnsi="Times New Roman" w:cs="Times New Roman"/>
          <w:bCs/>
          <w:i/>
          <w:u w:val="single"/>
          <w:lang w:eastAsia="pl-PL"/>
        </w:rPr>
        <w:t>Wykonawca dołącza oświadczenie + referencje o posiadanym doświadczeniu w realizacji podobnych usług do przedmiotu</w:t>
      </w:r>
      <w:r>
        <w:rPr>
          <w:rFonts w:ascii="Times New Roman" w:eastAsia="Times New Roman" w:hAnsi="Times New Roman" w:cs="Times New Roman"/>
          <w:bCs/>
          <w:i/>
          <w:u w:val="single"/>
          <w:lang w:eastAsia="pl-PL"/>
        </w:rPr>
        <w:t xml:space="preserve"> zamówienia dla floty minimum 20</w:t>
      </w:r>
      <w:r w:rsidRPr="00C80F0B">
        <w:rPr>
          <w:rFonts w:ascii="Times New Roman" w:eastAsia="Times New Roman" w:hAnsi="Times New Roman" w:cs="Times New Roman"/>
          <w:bCs/>
          <w:i/>
          <w:u w:val="single"/>
          <w:lang w:eastAsia="pl-PL"/>
        </w:rPr>
        <w:t xml:space="preserve"> pojazdów w ramach jednej umowy w okresie 3 lat-  </w:t>
      </w:r>
      <w:r>
        <w:rPr>
          <w:rFonts w:ascii="Times New Roman" w:eastAsia="Times New Roman" w:hAnsi="Times New Roman" w:cs="Times New Roman"/>
          <w:b/>
          <w:bCs/>
          <w:i/>
          <w:u w:val="single"/>
          <w:lang w:eastAsia="pl-PL"/>
        </w:rPr>
        <w:t>załącznik Nr 11</w:t>
      </w:r>
      <w:r w:rsidRPr="00C80F0B">
        <w:rPr>
          <w:rFonts w:ascii="Times New Roman" w:eastAsia="Times New Roman" w:hAnsi="Times New Roman" w:cs="Times New Roman"/>
          <w:b/>
          <w:bCs/>
          <w:i/>
          <w:u w:val="single"/>
          <w:lang w:eastAsia="pl-PL"/>
        </w:rPr>
        <w:t xml:space="preserve"> do SWZ</w:t>
      </w:r>
      <w:r w:rsidRPr="00C80F0B">
        <w:rPr>
          <w:rFonts w:ascii="Times New Roman" w:eastAsia="Times New Roman" w:hAnsi="Times New Roman" w:cs="Times New Roman"/>
          <w:bCs/>
          <w:i/>
          <w:u w:val="single"/>
          <w:lang w:eastAsia="pl-PL"/>
        </w:rPr>
        <w:t>.</w:t>
      </w:r>
    </w:p>
    <w:p w:rsidR="00E43B67" w:rsidRPr="00E43B67" w:rsidRDefault="00E43B67" w:rsidP="00E43B67">
      <w:pPr>
        <w:pStyle w:val="Akapitzlist"/>
        <w:numPr>
          <w:ilvl w:val="0"/>
          <w:numId w:val="57"/>
        </w:numPr>
        <w:spacing w:before="100" w:beforeAutospacing="1" w:after="100" w:afterAutospacing="1"/>
        <w:ind w:left="851" w:hanging="425"/>
        <w:jc w:val="both"/>
        <w:outlineLvl w:val="1"/>
        <w:rPr>
          <w:rFonts w:ascii="Times New Roman" w:eastAsia="Times New Roman" w:hAnsi="Times New Roman" w:cs="Times New Roman"/>
          <w:bCs/>
          <w:i/>
          <w:u w:val="single"/>
          <w:lang w:eastAsia="pl-PL"/>
        </w:rPr>
      </w:pPr>
      <w:r w:rsidRPr="00E43B67">
        <w:rPr>
          <w:rFonts w:ascii="Times New Roman" w:eastAsia="Times New Roman" w:hAnsi="Times New Roman" w:cs="Times New Roman"/>
          <w:bCs/>
          <w:i/>
          <w:u w:val="single"/>
          <w:lang w:eastAsia="pl-PL"/>
        </w:rPr>
        <w:t xml:space="preserve">Wykonawca dołącza oświadczenie, że posiada autoryzację do serwisu pojazdów grupy Volkswagen– </w:t>
      </w:r>
      <w:r w:rsidRPr="00E43B67">
        <w:rPr>
          <w:rFonts w:ascii="Times New Roman" w:eastAsia="Times New Roman" w:hAnsi="Times New Roman" w:cs="Times New Roman"/>
          <w:b/>
          <w:bCs/>
          <w:i/>
          <w:u w:val="single"/>
          <w:lang w:eastAsia="pl-PL"/>
        </w:rPr>
        <w:t>załącznik nr 9 do SWZ</w:t>
      </w:r>
    </w:p>
    <w:p w:rsidR="00FB2296" w:rsidRPr="00E269E2" w:rsidRDefault="00FB2296"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51211F" w:rsidRPr="0089098E" w:rsidRDefault="0051211F" w:rsidP="0089098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0089098E"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37444B" w:rsidRPr="00A30273" w:rsidRDefault="00614F41" w:rsidP="00A3027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557A53" w:rsidRPr="001764EA">
        <w:rPr>
          <w:rFonts w:ascii="Tahoma" w:hAnsi="Tahoma" w:cs="Tahoma"/>
          <w:i/>
          <w:sz w:val="18"/>
          <w:szCs w:val="18"/>
        </w:rPr>
        <w:t>staw</w:t>
      </w:r>
      <w:r w:rsidR="0037444B">
        <w:rPr>
          <w:rFonts w:ascii="Tahoma" w:hAnsi="Tahoma" w:cs="Tahoma"/>
          <w:i/>
          <w:sz w:val="18"/>
          <w:szCs w:val="18"/>
        </w:rPr>
        <w:t>ia warunek</w:t>
      </w:r>
      <w:r>
        <w:rPr>
          <w:rFonts w:ascii="Tahoma" w:hAnsi="Tahoma" w:cs="Tahoma"/>
          <w:i/>
          <w:sz w:val="18"/>
          <w:szCs w:val="18"/>
        </w:rPr>
        <w:t xml:space="preserve"> w powyższym zakresie</w:t>
      </w:r>
    </w:p>
    <w:p w:rsidR="00E43B67" w:rsidRPr="00E43B67" w:rsidRDefault="00E43B67" w:rsidP="002000F8">
      <w:pPr>
        <w:pStyle w:val="Akapitzlist"/>
        <w:numPr>
          <w:ilvl w:val="0"/>
          <w:numId w:val="58"/>
        </w:numPr>
        <w:spacing w:before="100" w:beforeAutospacing="1" w:after="100" w:afterAutospacing="1"/>
        <w:ind w:left="851" w:hanging="425"/>
        <w:jc w:val="both"/>
        <w:outlineLvl w:val="1"/>
        <w:rPr>
          <w:rFonts w:ascii="Times New Roman" w:eastAsia="Times New Roman" w:hAnsi="Times New Roman" w:cs="Times New Roman"/>
          <w:bCs/>
          <w:i/>
          <w:u w:val="single"/>
          <w:lang w:eastAsia="pl-PL"/>
        </w:rPr>
      </w:pPr>
      <w:r w:rsidRPr="00E43B67">
        <w:rPr>
          <w:rFonts w:ascii="Times New Roman" w:eastAsia="Times New Roman" w:hAnsi="Times New Roman" w:cs="Times New Roman"/>
          <w:bCs/>
          <w:i/>
          <w:u w:val="single"/>
          <w:lang w:eastAsia="pl-PL"/>
        </w:rPr>
        <w:t>oświadczenie + referencje o posiadanym doświadczeniu w realizacji podobnych usług do przedmiotu zamówienia dla floty minimum 20 pojazdów w ramac</w:t>
      </w:r>
      <w:r>
        <w:rPr>
          <w:rFonts w:ascii="Times New Roman" w:eastAsia="Times New Roman" w:hAnsi="Times New Roman" w:cs="Times New Roman"/>
          <w:bCs/>
          <w:i/>
          <w:u w:val="single"/>
          <w:lang w:eastAsia="pl-PL"/>
        </w:rPr>
        <w:t>h jednej umowy w okresie 3 lat.</w:t>
      </w:r>
    </w:p>
    <w:p w:rsidR="00E43B67" w:rsidRPr="00E43B67" w:rsidRDefault="00E43B67" w:rsidP="002000F8">
      <w:pPr>
        <w:pStyle w:val="Akapitzlist"/>
        <w:numPr>
          <w:ilvl w:val="0"/>
          <w:numId w:val="58"/>
        </w:numPr>
        <w:spacing w:before="100" w:beforeAutospacing="1" w:after="100" w:afterAutospacing="1"/>
        <w:ind w:left="851" w:hanging="425"/>
        <w:jc w:val="both"/>
        <w:outlineLvl w:val="1"/>
        <w:rPr>
          <w:rFonts w:ascii="Times New Roman" w:eastAsia="Times New Roman" w:hAnsi="Times New Roman" w:cs="Times New Roman"/>
          <w:bCs/>
          <w:i/>
          <w:u w:val="single"/>
          <w:lang w:eastAsia="pl-PL"/>
        </w:rPr>
      </w:pPr>
      <w:r>
        <w:rPr>
          <w:rFonts w:ascii="Times New Roman" w:eastAsia="Times New Roman" w:hAnsi="Times New Roman" w:cs="Times New Roman"/>
          <w:bCs/>
          <w:i/>
          <w:u w:val="single"/>
          <w:lang w:eastAsia="pl-PL"/>
        </w:rPr>
        <w:t xml:space="preserve">oświadczenie, o </w:t>
      </w:r>
      <w:r w:rsidRPr="00E43B67">
        <w:rPr>
          <w:rFonts w:ascii="Times New Roman" w:eastAsia="Times New Roman" w:hAnsi="Times New Roman" w:cs="Times New Roman"/>
          <w:bCs/>
          <w:i/>
          <w:u w:val="single"/>
          <w:lang w:eastAsia="pl-PL"/>
        </w:rPr>
        <w:t>posiada</w:t>
      </w:r>
      <w:r>
        <w:rPr>
          <w:rFonts w:ascii="Times New Roman" w:eastAsia="Times New Roman" w:hAnsi="Times New Roman" w:cs="Times New Roman"/>
          <w:bCs/>
          <w:i/>
          <w:u w:val="single"/>
          <w:lang w:eastAsia="pl-PL"/>
        </w:rPr>
        <w:t>niu autoryzacji</w:t>
      </w:r>
      <w:r w:rsidRPr="00E43B67">
        <w:rPr>
          <w:rFonts w:ascii="Times New Roman" w:eastAsia="Times New Roman" w:hAnsi="Times New Roman" w:cs="Times New Roman"/>
          <w:bCs/>
          <w:i/>
          <w:u w:val="single"/>
          <w:lang w:eastAsia="pl-PL"/>
        </w:rPr>
        <w:t xml:space="preserve"> do se</w:t>
      </w:r>
      <w:r>
        <w:rPr>
          <w:rFonts w:ascii="Times New Roman" w:eastAsia="Times New Roman" w:hAnsi="Times New Roman" w:cs="Times New Roman"/>
          <w:bCs/>
          <w:i/>
          <w:u w:val="single"/>
          <w:lang w:eastAsia="pl-PL"/>
        </w:rPr>
        <w:t>rwisu pojazdów grupy Volkswagen.</w:t>
      </w:r>
    </w:p>
    <w:p w:rsidR="0037444B" w:rsidRPr="0089098E" w:rsidRDefault="0037444B" w:rsidP="0089098E">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lastRenderedPageBreak/>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w:t>
      </w:r>
      <w:r w:rsidRPr="001764EA">
        <w:rPr>
          <w:rFonts w:ascii="Tahoma" w:hAnsi="Tahoma" w:cs="Tahoma"/>
          <w:sz w:val="18"/>
          <w:szCs w:val="18"/>
        </w:rPr>
        <w:lastRenderedPageBreak/>
        <w:t>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Default="00B36EF9" w:rsidP="00572FDC">
      <w:pPr>
        <w:widowControl w:val="0"/>
        <w:spacing w:after="0"/>
        <w:jc w:val="both"/>
        <w:rPr>
          <w:rFonts w:ascii="Tahoma" w:eastAsia="Times New Roman" w:hAnsi="Tahoma" w:cs="Tahoma"/>
          <w:sz w:val="18"/>
          <w:szCs w:val="18"/>
          <w:lang w:eastAsia="pl-PL"/>
        </w:rPr>
      </w:pP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Default="00557A53" w:rsidP="00572FDC">
      <w:pPr>
        <w:spacing w:after="0"/>
        <w:contextualSpacing/>
        <w:rPr>
          <w:rFonts w:ascii="Tahoma" w:eastAsia="Times New Roman" w:hAnsi="Tahoma" w:cs="Tahoma"/>
          <w:b/>
          <w:color w:val="0070C0"/>
          <w:sz w:val="18"/>
          <w:szCs w:val="18"/>
          <w:u w:val="single"/>
          <w:lang w:eastAsia="pl-PL"/>
        </w:rPr>
      </w:pP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2000F8">
        <w:rPr>
          <w:rFonts w:ascii="Tahoma" w:hAnsi="Tahoma" w:cs="Tahoma"/>
          <w:b/>
          <w:sz w:val="18"/>
          <w:szCs w:val="18"/>
        </w:rPr>
        <w:t>20.01</w:t>
      </w:r>
      <w:r w:rsidR="0051211F" w:rsidRPr="00A35C20">
        <w:rPr>
          <w:rFonts w:ascii="Tahoma" w:hAnsi="Tahoma" w:cs="Tahoma"/>
          <w:b/>
          <w:sz w:val="18"/>
          <w:szCs w:val="18"/>
        </w:rPr>
        <w:t>.</w:t>
      </w:r>
      <w:r w:rsidR="002000F8">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2000F8">
        <w:rPr>
          <w:rFonts w:ascii="Tahoma" w:hAnsi="Tahoma" w:cs="Tahoma"/>
          <w:b/>
          <w:bCs/>
          <w:sz w:val="18"/>
          <w:szCs w:val="18"/>
          <w:u w:val="single"/>
        </w:rPr>
        <w:t>20.01</w:t>
      </w:r>
      <w:r w:rsidR="00522FA1">
        <w:rPr>
          <w:rFonts w:ascii="Tahoma" w:hAnsi="Tahoma" w:cs="Tahoma"/>
          <w:b/>
          <w:bCs/>
          <w:sz w:val="18"/>
          <w:szCs w:val="18"/>
          <w:u w:val="single"/>
        </w:rPr>
        <w:t>.</w:t>
      </w:r>
      <w:r w:rsidR="002000F8">
        <w:rPr>
          <w:rFonts w:ascii="Tahoma" w:hAnsi="Tahoma" w:cs="Tahoma"/>
          <w:b/>
          <w:bCs/>
          <w:sz w:val="18"/>
          <w:szCs w:val="18"/>
          <w:u w:val="single"/>
        </w:rPr>
        <w:t>2025</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Default="00557A53" w:rsidP="00557A53">
      <w:pPr>
        <w:pStyle w:val="Akapitzlist"/>
        <w:spacing w:after="0"/>
        <w:ind w:left="426"/>
        <w:jc w:val="both"/>
        <w:rPr>
          <w:rFonts w:ascii="Tahoma" w:hAnsi="Tahoma" w:cs="Tahoma"/>
          <w:sz w:val="18"/>
          <w:szCs w:val="18"/>
        </w:rPr>
      </w:pPr>
    </w:p>
    <w:p w:rsidR="00FB2296" w:rsidRPr="001764EA" w:rsidRDefault="00FB2296"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2000F8">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2000F8">
        <w:rPr>
          <w:rFonts w:ascii="Tahoma" w:eastAsia="Times New Roman" w:hAnsi="Tahoma" w:cs="Tahoma"/>
          <w:color w:val="000000" w:themeColor="text1"/>
          <w:sz w:val="18"/>
          <w:szCs w:val="18"/>
          <w:lang w:eastAsia="pl-PL"/>
        </w:rPr>
        <w:t>/ – 60% (max. 6</w:t>
      </w:r>
      <w:r w:rsidR="00A35C20" w:rsidRPr="00B54E39">
        <w:rPr>
          <w:rFonts w:ascii="Tahoma" w:eastAsia="Times New Roman" w:hAnsi="Tahoma" w:cs="Tahoma"/>
          <w:color w:val="000000" w:themeColor="text1"/>
          <w:sz w:val="18"/>
          <w:szCs w:val="18"/>
          <w:lang w:eastAsia="pl-PL"/>
        </w:rPr>
        <w:t>0</w:t>
      </w:r>
      <w:r w:rsidR="002000F8">
        <w:rPr>
          <w:rFonts w:ascii="Tahoma" w:eastAsia="Times New Roman" w:hAnsi="Tahoma" w:cs="Tahoma"/>
          <w:color w:val="000000" w:themeColor="text1"/>
          <w:sz w:val="18"/>
          <w:szCs w:val="18"/>
          <w:lang w:eastAsia="pl-PL"/>
        </w:rPr>
        <w:t xml:space="preserve"> pkt) oraz warunki uzupełniające 40 % - odległość od siedziby zamawiającego (max 40 pkt) </w:t>
      </w:r>
    </w:p>
    <w:p w:rsidR="009C7683" w:rsidRPr="00B54E39" w:rsidRDefault="00557A53" w:rsidP="002000F8">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F51500">
      <w:pPr>
        <w:pStyle w:val="Akapitzlist"/>
        <w:numPr>
          <w:ilvl w:val="0"/>
          <w:numId w:val="52"/>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2000F8" w:rsidRPr="002000F8" w:rsidRDefault="002000F8" w:rsidP="002000F8">
      <w:pPr>
        <w:spacing w:after="0" w:line="360" w:lineRule="auto"/>
        <w:ind w:firstLine="709"/>
        <w:rPr>
          <w:rFonts w:ascii="Tahoma" w:hAnsi="Tahoma" w:cs="Tahoma"/>
          <w:sz w:val="18"/>
          <w:szCs w:val="18"/>
        </w:rPr>
      </w:pPr>
      <w:r w:rsidRPr="002000F8">
        <w:rPr>
          <w:rFonts w:ascii="Tahoma" w:hAnsi="Tahoma" w:cs="Tahoma"/>
          <w:sz w:val="18"/>
          <w:szCs w:val="18"/>
        </w:rPr>
        <w:t>Na wybór kompleksowego Wykonawcy na realizację zamówienia składa się:</w:t>
      </w:r>
    </w:p>
    <w:p w:rsidR="002000F8" w:rsidRPr="002000F8" w:rsidRDefault="002000F8" w:rsidP="002000F8">
      <w:pPr>
        <w:numPr>
          <w:ilvl w:val="0"/>
          <w:numId w:val="60"/>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Cena 60 % (liczona według proporcji) 60 pkt</w:t>
      </w:r>
    </w:p>
    <w:p w:rsidR="002000F8" w:rsidRPr="002000F8" w:rsidRDefault="002000F8" w:rsidP="002000F8">
      <w:pPr>
        <w:numPr>
          <w:ilvl w:val="0"/>
          <w:numId w:val="59"/>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Cena napraw – 50 pkt</w:t>
      </w:r>
    </w:p>
    <w:p w:rsidR="002000F8" w:rsidRPr="002000F8" w:rsidRDefault="002000F8" w:rsidP="002000F8">
      <w:pPr>
        <w:numPr>
          <w:ilvl w:val="0"/>
          <w:numId w:val="59"/>
        </w:numPr>
        <w:spacing w:after="0" w:line="360" w:lineRule="auto"/>
        <w:ind w:hanging="11"/>
        <w:rPr>
          <w:rFonts w:ascii="Tahoma" w:eastAsia="+mn-ea" w:hAnsi="Tahoma" w:cs="Tahoma"/>
          <w:color w:val="000000"/>
          <w:sz w:val="18"/>
          <w:szCs w:val="18"/>
          <w:lang w:eastAsia="pl-PL"/>
        </w:rPr>
      </w:pPr>
      <w:r w:rsidRPr="002000F8">
        <w:rPr>
          <w:rFonts w:ascii="Tahoma" w:eastAsia="+mn-ea" w:hAnsi="Tahoma" w:cs="Tahoma"/>
          <w:color w:val="000000"/>
          <w:sz w:val="18"/>
          <w:szCs w:val="18"/>
          <w:lang w:eastAsia="pl-PL"/>
        </w:rPr>
        <w:t>Cena obsług samochodowych – 10 pkt</w:t>
      </w:r>
    </w:p>
    <w:p w:rsidR="002000F8" w:rsidRPr="002000F8" w:rsidRDefault="002000F8" w:rsidP="002000F8">
      <w:pPr>
        <w:spacing w:after="0" w:line="360" w:lineRule="auto"/>
        <w:ind w:firstLine="709"/>
        <w:rPr>
          <w:rFonts w:ascii="Tahoma" w:eastAsia="+mn-ea" w:hAnsi="Tahoma" w:cs="Tahoma"/>
          <w:b/>
          <w:color w:val="000000"/>
          <w:sz w:val="18"/>
          <w:szCs w:val="18"/>
          <w:lang w:eastAsia="pl-PL"/>
        </w:rPr>
      </w:pPr>
      <w:r w:rsidRPr="002000F8">
        <w:rPr>
          <w:rFonts w:ascii="Tahoma" w:eastAsia="+mn-ea" w:hAnsi="Tahoma" w:cs="Tahoma"/>
          <w:b/>
          <w:color w:val="000000"/>
          <w:sz w:val="18"/>
          <w:szCs w:val="18"/>
          <w:lang w:eastAsia="pl-PL"/>
        </w:rPr>
        <w:t>Sposób przeliczania</w:t>
      </w:r>
    </w:p>
    <w:p w:rsidR="002000F8" w:rsidRPr="002000F8" w:rsidRDefault="002000F8" w:rsidP="002000F8">
      <w:pPr>
        <w:pStyle w:val="NormalnyWeb"/>
        <w:numPr>
          <w:ilvl w:val="0"/>
          <w:numId w:val="62"/>
        </w:numPr>
        <w:spacing w:before="0" w:beforeAutospacing="0" w:after="0" w:afterAutospacing="0" w:line="360" w:lineRule="auto"/>
        <w:ind w:hanging="11"/>
        <w:rPr>
          <w:rFonts w:ascii="Tahoma" w:eastAsia="+mn-ea" w:hAnsi="Tahoma" w:cs="Tahoma"/>
          <w:color w:val="000000"/>
          <w:sz w:val="18"/>
          <w:szCs w:val="18"/>
        </w:rPr>
      </w:pPr>
      <w:r w:rsidRPr="002000F8">
        <w:rPr>
          <w:rFonts w:ascii="Tahoma" w:eastAsia="+mn-ea" w:hAnsi="Tahoma" w:cs="Tahoma"/>
          <w:color w:val="000000"/>
          <w:sz w:val="18"/>
          <w:szCs w:val="18"/>
        </w:rPr>
        <w:t>Cena napraw – 50 pkt</w:t>
      </w:r>
    </w:p>
    <w:p w:rsidR="002000F8" w:rsidRPr="002000F8" w:rsidRDefault="002000F8" w:rsidP="002000F8">
      <w:pPr>
        <w:pStyle w:val="Akapitzlist"/>
        <w:autoSpaceDE w:val="0"/>
        <w:autoSpaceDN w:val="0"/>
        <w:spacing w:after="120" w:line="240" w:lineRule="auto"/>
        <w:ind w:left="1440" w:hanging="11"/>
        <w:jc w:val="both"/>
        <w:rPr>
          <w:rFonts w:ascii="Tahoma" w:eastAsia="Times New Roman" w:hAnsi="Tahoma" w:cs="Tahoma"/>
          <w:sz w:val="18"/>
          <w:szCs w:val="18"/>
          <w:u w:val="single"/>
          <w:lang w:eastAsia="pl-PL"/>
        </w:rPr>
      </w:pPr>
      <w:r w:rsidRPr="002000F8">
        <w:rPr>
          <w:rFonts w:ascii="Tahoma" w:eastAsia="Times New Roman" w:hAnsi="Tahoma" w:cs="Tahoma"/>
          <w:sz w:val="18"/>
          <w:szCs w:val="18"/>
          <w:u w:val="single"/>
          <w:lang w:eastAsia="pl-PL"/>
        </w:rPr>
        <w:t xml:space="preserve">Cena usługi najkorzystniejszej oferty        </w:t>
      </w:r>
      <w:r w:rsidRPr="002000F8">
        <w:rPr>
          <w:rFonts w:ascii="Tahoma" w:eastAsia="Times New Roman" w:hAnsi="Tahoma" w:cs="Tahoma"/>
          <w:sz w:val="18"/>
          <w:szCs w:val="18"/>
          <w:lang w:eastAsia="pl-PL"/>
        </w:rPr>
        <w:t xml:space="preserve">  x 100 pkt. X 50 %</w:t>
      </w:r>
    </w:p>
    <w:p w:rsidR="002000F8" w:rsidRPr="002000F8" w:rsidRDefault="002000F8" w:rsidP="002000F8">
      <w:pPr>
        <w:pStyle w:val="Akapitzlist"/>
        <w:autoSpaceDE w:val="0"/>
        <w:autoSpaceDN w:val="0"/>
        <w:spacing w:after="120" w:line="240" w:lineRule="auto"/>
        <w:ind w:left="1440" w:hanging="11"/>
        <w:jc w:val="both"/>
        <w:rPr>
          <w:rFonts w:ascii="Tahoma" w:eastAsia="Times New Roman" w:hAnsi="Tahoma" w:cs="Tahoma"/>
          <w:sz w:val="18"/>
          <w:szCs w:val="18"/>
          <w:lang w:eastAsia="pl-PL"/>
        </w:rPr>
      </w:pPr>
      <w:r w:rsidRPr="002000F8">
        <w:rPr>
          <w:rFonts w:ascii="Tahoma" w:eastAsia="Times New Roman" w:hAnsi="Tahoma" w:cs="Tahoma"/>
          <w:sz w:val="18"/>
          <w:szCs w:val="18"/>
          <w:lang w:eastAsia="pl-PL"/>
        </w:rPr>
        <w:t>Cena usługi oferty badanej</w:t>
      </w:r>
    </w:p>
    <w:p w:rsidR="002000F8" w:rsidRPr="002000F8" w:rsidRDefault="002000F8" w:rsidP="002000F8">
      <w:pPr>
        <w:pStyle w:val="NormalnyWeb"/>
        <w:numPr>
          <w:ilvl w:val="0"/>
          <w:numId w:val="62"/>
        </w:numPr>
        <w:spacing w:before="0" w:beforeAutospacing="0" w:after="0" w:afterAutospacing="0" w:line="360" w:lineRule="auto"/>
        <w:ind w:hanging="11"/>
        <w:rPr>
          <w:rFonts w:ascii="Tahoma" w:eastAsia="+mn-ea" w:hAnsi="Tahoma" w:cs="Tahoma"/>
          <w:color w:val="000000"/>
          <w:sz w:val="18"/>
          <w:szCs w:val="18"/>
        </w:rPr>
      </w:pPr>
      <w:r w:rsidRPr="002000F8">
        <w:rPr>
          <w:rFonts w:ascii="Tahoma" w:eastAsia="+mn-ea" w:hAnsi="Tahoma" w:cs="Tahoma"/>
          <w:color w:val="000000"/>
          <w:sz w:val="18"/>
          <w:szCs w:val="18"/>
        </w:rPr>
        <w:lastRenderedPageBreak/>
        <w:t>Cena obsług samochodowych –10 pkt</w:t>
      </w:r>
    </w:p>
    <w:p w:rsidR="002000F8" w:rsidRPr="002000F8" w:rsidRDefault="002000F8" w:rsidP="002000F8">
      <w:pPr>
        <w:pStyle w:val="Akapitzlist"/>
        <w:autoSpaceDE w:val="0"/>
        <w:autoSpaceDN w:val="0"/>
        <w:spacing w:after="120" w:line="240" w:lineRule="auto"/>
        <w:ind w:left="1440" w:hanging="11"/>
        <w:jc w:val="both"/>
        <w:rPr>
          <w:rFonts w:ascii="Tahoma" w:eastAsia="Times New Roman" w:hAnsi="Tahoma" w:cs="Tahoma"/>
          <w:sz w:val="18"/>
          <w:szCs w:val="18"/>
          <w:u w:val="single"/>
          <w:lang w:eastAsia="pl-PL"/>
        </w:rPr>
      </w:pPr>
      <w:r w:rsidRPr="002000F8">
        <w:rPr>
          <w:rFonts w:ascii="Tahoma" w:eastAsia="Times New Roman" w:hAnsi="Tahoma" w:cs="Tahoma"/>
          <w:sz w:val="18"/>
          <w:szCs w:val="18"/>
          <w:u w:val="single"/>
          <w:lang w:eastAsia="pl-PL"/>
        </w:rPr>
        <w:t xml:space="preserve">Cena usługi najkorzystniejszej oferty        </w:t>
      </w:r>
      <w:r w:rsidRPr="002000F8">
        <w:rPr>
          <w:rFonts w:ascii="Tahoma" w:eastAsia="Times New Roman" w:hAnsi="Tahoma" w:cs="Tahoma"/>
          <w:sz w:val="18"/>
          <w:szCs w:val="18"/>
          <w:lang w:eastAsia="pl-PL"/>
        </w:rPr>
        <w:t xml:space="preserve">  x 100 pkt. X 10 %</w:t>
      </w:r>
    </w:p>
    <w:p w:rsidR="002000F8" w:rsidRPr="002000F8" w:rsidRDefault="002000F8" w:rsidP="002000F8">
      <w:pPr>
        <w:pStyle w:val="Akapitzlist"/>
        <w:autoSpaceDE w:val="0"/>
        <w:autoSpaceDN w:val="0"/>
        <w:spacing w:after="120" w:line="240" w:lineRule="auto"/>
        <w:ind w:left="1440" w:hanging="11"/>
        <w:jc w:val="both"/>
        <w:rPr>
          <w:rFonts w:ascii="Tahoma" w:eastAsia="Times New Roman" w:hAnsi="Tahoma" w:cs="Tahoma"/>
          <w:sz w:val="18"/>
          <w:szCs w:val="18"/>
          <w:lang w:eastAsia="pl-PL"/>
        </w:rPr>
      </w:pPr>
      <w:r w:rsidRPr="002000F8">
        <w:rPr>
          <w:rFonts w:ascii="Tahoma" w:eastAsia="Times New Roman" w:hAnsi="Tahoma" w:cs="Tahoma"/>
          <w:sz w:val="18"/>
          <w:szCs w:val="18"/>
          <w:lang w:eastAsia="pl-PL"/>
        </w:rPr>
        <w:t>Cena usługi oferty badanej</w:t>
      </w:r>
    </w:p>
    <w:p w:rsidR="002000F8" w:rsidRPr="002000F8" w:rsidRDefault="002000F8" w:rsidP="002000F8">
      <w:pPr>
        <w:spacing w:after="0" w:line="360" w:lineRule="auto"/>
        <w:ind w:firstLine="709"/>
        <w:rPr>
          <w:rFonts w:ascii="Tahoma" w:eastAsia="+mn-ea" w:hAnsi="Tahoma" w:cs="Tahoma"/>
          <w:color w:val="000000"/>
          <w:sz w:val="18"/>
          <w:szCs w:val="18"/>
          <w:lang w:eastAsia="pl-PL"/>
        </w:rPr>
      </w:pPr>
    </w:p>
    <w:p w:rsidR="002000F8" w:rsidRPr="002000F8" w:rsidRDefault="002000F8" w:rsidP="002000F8">
      <w:pPr>
        <w:pStyle w:val="NormalnyWeb"/>
        <w:numPr>
          <w:ilvl w:val="0"/>
          <w:numId w:val="60"/>
        </w:numPr>
        <w:spacing w:before="0" w:beforeAutospacing="0" w:after="0" w:afterAutospacing="0" w:line="360" w:lineRule="auto"/>
        <w:ind w:hanging="11"/>
        <w:rPr>
          <w:rFonts w:ascii="Tahoma" w:eastAsia="+mn-ea" w:hAnsi="Tahoma" w:cs="Tahoma"/>
          <w:color w:val="000000"/>
          <w:sz w:val="18"/>
          <w:szCs w:val="18"/>
        </w:rPr>
      </w:pPr>
      <w:r w:rsidRPr="002000F8">
        <w:rPr>
          <w:rFonts w:ascii="Tahoma" w:eastAsia="+mn-ea" w:hAnsi="Tahoma" w:cs="Tahoma"/>
          <w:color w:val="000000"/>
          <w:sz w:val="18"/>
          <w:szCs w:val="18"/>
        </w:rPr>
        <w:t>Warunki uzupełniające (40 %) a w tym:</w:t>
      </w:r>
    </w:p>
    <w:p w:rsidR="002000F8" w:rsidRPr="002000F8" w:rsidRDefault="002000F8" w:rsidP="002000F8">
      <w:pPr>
        <w:spacing w:after="0" w:line="360" w:lineRule="auto"/>
        <w:ind w:left="426" w:hanging="11"/>
        <w:rPr>
          <w:rFonts w:ascii="Tahoma" w:eastAsia="Times New Roman" w:hAnsi="Tahoma" w:cs="Tahoma"/>
          <w:sz w:val="18"/>
          <w:szCs w:val="18"/>
          <w:lang w:eastAsia="pl-PL"/>
        </w:rPr>
      </w:pPr>
      <w:r w:rsidRPr="002000F8">
        <w:rPr>
          <w:rFonts w:ascii="Tahoma" w:eastAsia="Times New Roman" w:hAnsi="Tahoma" w:cs="Tahoma"/>
          <w:sz w:val="18"/>
          <w:szCs w:val="18"/>
          <w:lang w:eastAsia="pl-PL"/>
        </w:rPr>
        <w:t xml:space="preserve">- odległość od siedziby Zamawiającego (Sobieskiego 35, 42-700 Lubliniec) do Wykonawcy liczona w pełnych kilometrach zaokrąglonych w dół po drogach publicznych przy wykorzystaniu aplikacji „Google Maps” </w:t>
      </w:r>
      <w:r w:rsidRPr="002000F8">
        <w:rPr>
          <w:rFonts w:ascii="Tahoma" w:eastAsia="Times New Roman" w:hAnsi="Tahoma" w:cs="Tahoma"/>
          <w:b/>
          <w:sz w:val="18"/>
          <w:szCs w:val="18"/>
          <w:lang w:eastAsia="pl-PL"/>
        </w:rPr>
        <w:t>– 40 pkt</w:t>
      </w:r>
    </w:p>
    <w:p w:rsidR="002000F8" w:rsidRPr="002000F8" w:rsidRDefault="002000F8" w:rsidP="002000F8">
      <w:pPr>
        <w:pStyle w:val="NormalnyWeb"/>
        <w:spacing w:before="0" w:beforeAutospacing="0" w:after="0" w:afterAutospacing="0" w:line="360" w:lineRule="auto"/>
        <w:ind w:left="709"/>
        <w:rPr>
          <w:rFonts w:ascii="Tahoma" w:hAnsi="Tahoma" w:cs="Tahoma"/>
          <w:sz w:val="18"/>
          <w:szCs w:val="18"/>
        </w:rPr>
      </w:pPr>
      <w:r w:rsidRPr="002000F8">
        <w:rPr>
          <w:rFonts w:ascii="Tahoma" w:hAnsi="Tahoma" w:cs="Tahoma"/>
          <w:sz w:val="18"/>
          <w:szCs w:val="18"/>
        </w:rPr>
        <w:t>do 50 km – 40 pkt;</w:t>
      </w:r>
    </w:p>
    <w:p w:rsidR="002000F8" w:rsidRPr="002000F8" w:rsidRDefault="002000F8" w:rsidP="002000F8">
      <w:pPr>
        <w:pStyle w:val="NormalnyWeb"/>
        <w:spacing w:before="0" w:beforeAutospacing="0" w:after="0" w:afterAutospacing="0" w:line="360" w:lineRule="auto"/>
        <w:ind w:left="709"/>
        <w:rPr>
          <w:rFonts w:ascii="Tahoma" w:hAnsi="Tahoma" w:cs="Tahoma"/>
          <w:sz w:val="18"/>
          <w:szCs w:val="18"/>
        </w:rPr>
      </w:pPr>
      <w:r w:rsidRPr="002000F8">
        <w:rPr>
          <w:rFonts w:ascii="Tahoma" w:hAnsi="Tahoma" w:cs="Tahoma"/>
          <w:sz w:val="18"/>
          <w:szCs w:val="18"/>
        </w:rPr>
        <w:t>od 50 km do 70 km – 30 pkt;</w:t>
      </w:r>
    </w:p>
    <w:p w:rsidR="002000F8" w:rsidRPr="002000F8" w:rsidRDefault="002000F8" w:rsidP="002000F8">
      <w:pPr>
        <w:pStyle w:val="NormalnyWeb"/>
        <w:spacing w:before="0" w:beforeAutospacing="0" w:after="0" w:afterAutospacing="0" w:line="360" w:lineRule="auto"/>
        <w:ind w:left="709"/>
        <w:rPr>
          <w:rFonts w:ascii="Tahoma" w:hAnsi="Tahoma" w:cs="Tahoma"/>
          <w:sz w:val="18"/>
          <w:szCs w:val="18"/>
        </w:rPr>
      </w:pPr>
      <w:r w:rsidRPr="002000F8">
        <w:rPr>
          <w:rFonts w:ascii="Tahoma" w:hAnsi="Tahoma" w:cs="Tahoma"/>
          <w:sz w:val="18"/>
          <w:szCs w:val="18"/>
        </w:rPr>
        <w:t>od 70 km do 90 km – 5 pkt;</w:t>
      </w:r>
    </w:p>
    <w:p w:rsidR="002000F8" w:rsidRPr="002000F8" w:rsidRDefault="002000F8" w:rsidP="002000F8">
      <w:pPr>
        <w:pStyle w:val="NormalnyWeb"/>
        <w:spacing w:before="0" w:beforeAutospacing="0" w:after="0" w:afterAutospacing="0" w:line="360" w:lineRule="auto"/>
        <w:ind w:left="709"/>
        <w:rPr>
          <w:rFonts w:ascii="Tahoma" w:hAnsi="Tahoma" w:cs="Tahoma"/>
          <w:sz w:val="18"/>
          <w:szCs w:val="18"/>
        </w:rPr>
      </w:pPr>
      <w:r w:rsidRPr="002000F8">
        <w:rPr>
          <w:rFonts w:ascii="Tahoma" w:hAnsi="Tahoma" w:cs="Tahoma"/>
          <w:sz w:val="18"/>
          <w:szCs w:val="18"/>
        </w:rPr>
        <w:t>powyżej 90 km -  0 pkt;</w:t>
      </w:r>
    </w:p>
    <w:p w:rsidR="00557A53" w:rsidRPr="001764EA" w:rsidRDefault="002000F8" w:rsidP="002000F8">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Wszelkie zmiany Umowy mogą być dokonywane jedynie w formie pisemnej pod rygorem nieważności, z uwzględnieniem art. 455 ustawy Pzp.</w:t>
      </w:r>
    </w:p>
    <w:p w:rsidR="00557A53" w:rsidRDefault="00557A53" w:rsidP="00572FDC">
      <w:pPr>
        <w:autoSpaceDE w:val="0"/>
        <w:autoSpaceDN w:val="0"/>
        <w:adjustRightInd w:val="0"/>
        <w:spacing w:after="0"/>
        <w:jc w:val="both"/>
        <w:rPr>
          <w:rFonts w:ascii="Tahoma" w:eastAsia="Times New Roman" w:hAnsi="Tahoma" w:cs="Tahoma"/>
          <w:sz w:val="18"/>
          <w:szCs w:val="18"/>
          <w:lang w:eastAsia="pl-PL"/>
        </w:rPr>
      </w:pP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2000F8">
        <w:rPr>
          <w:rFonts w:ascii="Tahoma" w:eastAsia="Times New Roman" w:hAnsi="Tahoma" w:cs="Tahoma"/>
          <w:b/>
          <w:sz w:val="18"/>
          <w:szCs w:val="18"/>
          <w:lang w:eastAsia="pl-PL"/>
        </w:rPr>
        <w:t>10</w:t>
      </w:r>
      <w:r w:rsidR="00522FA1">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sidR="00B54E39">
        <w:rPr>
          <w:rFonts w:ascii="Tahoma" w:eastAsia="Times New Roman" w:hAnsi="Tahoma" w:cs="Tahoma"/>
          <w:sz w:val="18"/>
          <w:szCs w:val="18"/>
          <w:lang w:eastAsia="pl-PL"/>
        </w:rPr>
        <w:t>”.</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FB2296" w:rsidRPr="00922013" w:rsidRDefault="00FB2296"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22FA1" w:rsidRDefault="00522FA1"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lastRenderedPageBreak/>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87767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877673">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2000F8" w:rsidRDefault="00522FA1"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9 </w:t>
            </w:r>
            <w:r w:rsidR="002000F8">
              <w:rPr>
                <w:rFonts w:ascii="Tahoma" w:eastAsia="Times New Roman" w:hAnsi="Tahoma" w:cs="Tahoma"/>
                <w:i/>
                <w:color w:val="000000"/>
                <w:sz w:val="18"/>
                <w:szCs w:val="18"/>
                <w:u w:val="single"/>
                <w:lang w:eastAsia="pl-PL"/>
              </w:rPr>
              <w:t>–</w:t>
            </w:r>
          </w:p>
          <w:p w:rsidR="002000F8" w:rsidRDefault="002000F8"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10 – </w:t>
            </w:r>
          </w:p>
          <w:p w:rsidR="00557A53" w:rsidRPr="001764EA" w:rsidRDefault="002000F8"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11 - </w:t>
            </w:r>
            <w:r w:rsidR="00522FA1">
              <w:rPr>
                <w:rFonts w:ascii="Tahoma" w:eastAsia="Times New Roman" w:hAnsi="Tahoma" w:cs="Tahoma"/>
                <w:i/>
                <w:color w:val="000000"/>
                <w:sz w:val="18"/>
                <w:szCs w:val="18"/>
                <w:u w:val="single"/>
                <w:lang w:eastAsia="pl-PL"/>
              </w:rPr>
              <w:t xml:space="preserve"> </w:t>
            </w: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Default="002000F8"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Oświadczenie o posiadaniu autoryzacji.</w:t>
            </w:r>
          </w:p>
          <w:p w:rsidR="002000F8" w:rsidRDefault="002000F8"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Lista przeglądu.</w:t>
            </w:r>
          </w:p>
          <w:p w:rsidR="002000F8" w:rsidRPr="001764EA" w:rsidRDefault="002000F8"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Oświadczenie o posiadaniu doświadczenia.</w:t>
            </w: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6F7EDD">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płk Marcin Suszko</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CE" w:rsidRDefault="00F26BCE">
      <w:pPr>
        <w:spacing w:after="0" w:line="240" w:lineRule="auto"/>
      </w:pPr>
      <w:r>
        <w:separator/>
      </w:r>
    </w:p>
  </w:endnote>
  <w:endnote w:type="continuationSeparator" w:id="0">
    <w:p w:rsidR="00F26BCE" w:rsidRDefault="00F2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Sans">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2000F8" w:rsidRPr="00000A80" w:rsidRDefault="002000F8"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15851">
              <w:rPr>
                <w:rFonts w:ascii="Times New Roman" w:hAnsi="Times New Roman" w:cs="Times New Roman"/>
                <w:bCs/>
                <w:noProof/>
                <w:sz w:val="20"/>
                <w:szCs w:val="20"/>
              </w:rPr>
              <w:t>3</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15851">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CE" w:rsidRDefault="00F26BCE">
      <w:pPr>
        <w:spacing w:after="0" w:line="240" w:lineRule="auto"/>
      </w:pPr>
      <w:r>
        <w:separator/>
      </w:r>
    </w:p>
  </w:footnote>
  <w:footnote w:type="continuationSeparator" w:id="0">
    <w:p w:rsidR="00F26BCE" w:rsidRDefault="00F26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3"/>
    <w:multiLevelType w:val="hybridMultilevel"/>
    <w:tmpl w:val="617E8696"/>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E7D71"/>
    <w:multiLevelType w:val="hybridMultilevel"/>
    <w:tmpl w:val="52D416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3"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2172FD"/>
    <w:multiLevelType w:val="hybridMultilevel"/>
    <w:tmpl w:val="3292842A"/>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8"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9953E64"/>
    <w:multiLevelType w:val="hybridMultilevel"/>
    <w:tmpl w:val="7FBE3C2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8" w15:restartNumberingAfterBreak="0">
    <w:nsid w:val="3D5363BD"/>
    <w:multiLevelType w:val="multilevel"/>
    <w:tmpl w:val="0D6EB852"/>
    <w:lvl w:ilvl="0">
      <w:start w:val="1"/>
      <w:numFmt w:val="decimal"/>
      <w:lvlText w:val="%1."/>
      <w:lvlJc w:val="left"/>
      <w:pPr>
        <w:ind w:left="502" w:hanging="360"/>
      </w:pPr>
    </w:lvl>
    <w:lvl w:ilvl="1">
      <w:start w:val="1"/>
      <w:numFmt w:val="decimal"/>
      <w:isLgl/>
      <w:lvlText w:val="%2)"/>
      <w:lvlJc w:val="left"/>
      <w:pPr>
        <w:ind w:left="786" w:hanging="360"/>
      </w:pPr>
      <w:rPr>
        <w:rFonts w:ascii="Arial" w:eastAsia="Calibri" w:hAnsi="Arial" w:cs="Arial"/>
        <w:b w:val="0"/>
        <w:i w:val="0"/>
      </w:rPr>
    </w:lvl>
    <w:lvl w:ilvl="2">
      <w:start w:val="1"/>
      <w:numFmt w:val="decimal"/>
      <w:isLgl/>
      <w:lvlText w:val="%1.%2.%3"/>
      <w:lvlJc w:val="left"/>
      <w:pPr>
        <w:ind w:left="1080" w:hanging="720"/>
      </w:pPr>
      <w:rPr>
        <w:rFonts w:ascii="LiberationSans" w:hAnsi="LiberationSans" w:cs="LiberationSans" w:hint="default"/>
        <w:b w:val="0"/>
        <w:i w:val="0"/>
      </w:rPr>
    </w:lvl>
    <w:lvl w:ilvl="3">
      <w:start w:val="1"/>
      <w:numFmt w:val="decimal"/>
      <w:isLgl/>
      <w:lvlText w:val="%1.%2.%3.%4"/>
      <w:lvlJc w:val="left"/>
      <w:pPr>
        <w:ind w:left="1080" w:hanging="720"/>
      </w:pPr>
      <w:rPr>
        <w:rFonts w:ascii="LiberationSans" w:hAnsi="LiberationSans" w:cs="LiberationSans" w:hint="default"/>
        <w:b w:val="0"/>
        <w:i w:val="0"/>
      </w:rPr>
    </w:lvl>
    <w:lvl w:ilvl="4">
      <w:start w:val="1"/>
      <w:numFmt w:val="decimal"/>
      <w:isLgl/>
      <w:lvlText w:val="%1.%2.%3.%4.%5"/>
      <w:lvlJc w:val="left"/>
      <w:pPr>
        <w:ind w:left="1440" w:hanging="1080"/>
      </w:pPr>
      <w:rPr>
        <w:rFonts w:ascii="LiberationSans" w:hAnsi="LiberationSans" w:cs="LiberationSans" w:hint="default"/>
        <w:b w:val="0"/>
        <w:i w:val="0"/>
      </w:rPr>
    </w:lvl>
    <w:lvl w:ilvl="5">
      <w:start w:val="1"/>
      <w:numFmt w:val="decimal"/>
      <w:isLgl/>
      <w:lvlText w:val="%1.%2.%3.%4.%5.%6"/>
      <w:lvlJc w:val="left"/>
      <w:pPr>
        <w:ind w:left="1440" w:hanging="1080"/>
      </w:pPr>
      <w:rPr>
        <w:rFonts w:ascii="LiberationSans" w:hAnsi="LiberationSans" w:cs="LiberationSans" w:hint="default"/>
        <w:b w:val="0"/>
        <w:i w:val="0"/>
      </w:rPr>
    </w:lvl>
    <w:lvl w:ilvl="6">
      <w:start w:val="1"/>
      <w:numFmt w:val="decimal"/>
      <w:isLgl/>
      <w:lvlText w:val="%1.%2.%3.%4.%5.%6.%7"/>
      <w:lvlJc w:val="left"/>
      <w:pPr>
        <w:ind w:left="1800" w:hanging="1440"/>
      </w:pPr>
      <w:rPr>
        <w:rFonts w:ascii="LiberationSans" w:hAnsi="LiberationSans" w:cs="LiberationSans" w:hint="default"/>
        <w:b w:val="0"/>
        <w:i w:val="0"/>
      </w:rPr>
    </w:lvl>
    <w:lvl w:ilvl="7">
      <w:start w:val="1"/>
      <w:numFmt w:val="decimal"/>
      <w:isLgl/>
      <w:lvlText w:val="%1.%2.%3.%4.%5.%6.%7.%8"/>
      <w:lvlJc w:val="left"/>
      <w:pPr>
        <w:ind w:left="1800" w:hanging="1440"/>
      </w:pPr>
      <w:rPr>
        <w:rFonts w:ascii="LiberationSans" w:hAnsi="LiberationSans" w:cs="LiberationSans" w:hint="default"/>
        <w:b w:val="0"/>
        <w:i w:val="0"/>
      </w:rPr>
    </w:lvl>
    <w:lvl w:ilvl="8">
      <w:start w:val="1"/>
      <w:numFmt w:val="decimal"/>
      <w:isLgl/>
      <w:lvlText w:val="%1.%2.%3.%4.%5.%6.%7.%8.%9"/>
      <w:lvlJc w:val="left"/>
      <w:pPr>
        <w:ind w:left="2160" w:hanging="1800"/>
      </w:pPr>
      <w:rPr>
        <w:rFonts w:ascii="LiberationSans" w:hAnsi="LiberationSans" w:cs="LiberationSans" w:hint="default"/>
        <w:b w:val="0"/>
        <w:i w:val="0"/>
      </w:rPr>
    </w:lvl>
  </w:abstractNum>
  <w:abstractNum w:abstractNumId="29"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1F4531"/>
    <w:multiLevelType w:val="hybridMultilevel"/>
    <w:tmpl w:val="77989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C305EF7"/>
    <w:multiLevelType w:val="hybridMultilevel"/>
    <w:tmpl w:val="C9DA4ED6"/>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43"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6"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63D0770E"/>
    <w:multiLevelType w:val="hybridMultilevel"/>
    <w:tmpl w:val="6D20FB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C94E6C"/>
    <w:multiLevelType w:val="hybridMultilevel"/>
    <w:tmpl w:val="66E25B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56"/>
  </w:num>
  <w:num w:numId="8">
    <w:abstractNumId w:val="27"/>
    <w:lvlOverride w:ilvl="0">
      <w:startOverride w:val="1"/>
    </w:lvlOverride>
  </w:num>
  <w:num w:numId="9">
    <w:abstractNumId w:val="14"/>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49"/>
  </w:num>
  <w:num w:numId="15">
    <w:abstractNumId w:val="13"/>
  </w:num>
  <w:num w:numId="16">
    <w:abstractNumId w:val="23"/>
  </w:num>
  <w:num w:numId="17">
    <w:abstractNumId w:val="3"/>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8"/>
  </w:num>
  <w:num w:numId="21">
    <w:abstractNumId w:val="41"/>
  </w:num>
  <w:num w:numId="22">
    <w:abstractNumId w:val="2"/>
  </w:num>
  <w:num w:numId="23">
    <w:abstractNumId w:val="53"/>
  </w:num>
  <w:num w:numId="24">
    <w:abstractNumId w:val="55"/>
  </w:num>
  <w:num w:numId="25">
    <w:abstractNumId w:val="6"/>
  </w:num>
  <w:num w:numId="26">
    <w:abstractNumId w:val="10"/>
  </w:num>
  <w:num w:numId="27">
    <w:abstractNumId w:val="37"/>
  </w:num>
  <w:num w:numId="28">
    <w:abstractNumId w:val="29"/>
  </w:num>
  <w:num w:numId="29">
    <w:abstractNumId w:val="44"/>
  </w:num>
  <w:num w:numId="30">
    <w:abstractNumId w:val="26"/>
  </w:num>
  <w:num w:numId="31">
    <w:abstractNumId w:val="35"/>
  </w:num>
  <w:num w:numId="32">
    <w:abstractNumId w:val="8"/>
  </w:num>
  <w:num w:numId="33">
    <w:abstractNumId w:val="22"/>
  </w:num>
  <w:num w:numId="34">
    <w:abstractNumId w:val="19"/>
  </w:num>
  <w:num w:numId="35">
    <w:abstractNumId w:val="43"/>
  </w:num>
  <w:num w:numId="36">
    <w:abstractNumId w:val="5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4"/>
  </w:num>
  <w:num w:numId="40">
    <w:abstractNumId w:val="36"/>
  </w:num>
  <w:num w:numId="41">
    <w:abstractNumId w:val="24"/>
  </w:num>
  <w:num w:numId="42">
    <w:abstractNumId w:val="5"/>
  </w:num>
  <w:num w:numId="43">
    <w:abstractNumId w:val="1"/>
  </w:num>
  <w:num w:numId="44">
    <w:abstractNumId w:val="7"/>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32"/>
  </w:num>
  <w:num w:numId="52">
    <w:abstractNumId w:val="39"/>
  </w:num>
  <w:num w:numId="53">
    <w:abstractNumId w:val="17"/>
  </w:num>
  <w:num w:numId="54">
    <w:abstractNumId w:val="9"/>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42"/>
  </w:num>
  <w:num w:numId="58">
    <w:abstractNumId w:val="25"/>
  </w:num>
  <w:num w:numId="59">
    <w:abstractNumId w:val="47"/>
  </w:num>
  <w:num w:numId="60">
    <w:abstractNumId w:val="38"/>
  </w:num>
  <w:num w:numId="61">
    <w:abstractNumId w:val="11"/>
  </w:num>
  <w:num w:numId="62">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E049A"/>
    <w:rsid w:val="00144563"/>
    <w:rsid w:val="00160E2A"/>
    <w:rsid w:val="001764EA"/>
    <w:rsid w:val="0018282F"/>
    <w:rsid w:val="001B2155"/>
    <w:rsid w:val="001C130C"/>
    <w:rsid w:val="001C45FB"/>
    <w:rsid w:val="001D690A"/>
    <w:rsid w:val="001E06BD"/>
    <w:rsid w:val="001F6278"/>
    <w:rsid w:val="002000F8"/>
    <w:rsid w:val="00227CC9"/>
    <w:rsid w:val="002527BA"/>
    <w:rsid w:val="00262C63"/>
    <w:rsid w:val="0028136D"/>
    <w:rsid w:val="00293A25"/>
    <w:rsid w:val="00333E7F"/>
    <w:rsid w:val="0037444B"/>
    <w:rsid w:val="003967A3"/>
    <w:rsid w:val="003F62D7"/>
    <w:rsid w:val="00402921"/>
    <w:rsid w:val="00405D4B"/>
    <w:rsid w:val="00441F98"/>
    <w:rsid w:val="00466D85"/>
    <w:rsid w:val="004933AF"/>
    <w:rsid w:val="004A2CD0"/>
    <w:rsid w:val="004B177F"/>
    <w:rsid w:val="004F5504"/>
    <w:rsid w:val="00506EDA"/>
    <w:rsid w:val="0051211F"/>
    <w:rsid w:val="00522FA1"/>
    <w:rsid w:val="00523447"/>
    <w:rsid w:val="00530E38"/>
    <w:rsid w:val="005552A6"/>
    <w:rsid w:val="00557A53"/>
    <w:rsid w:val="0056794F"/>
    <w:rsid w:val="00572FDC"/>
    <w:rsid w:val="00581B13"/>
    <w:rsid w:val="005E5A7D"/>
    <w:rsid w:val="00614F41"/>
    <w:rsid w:val="0062323A"/>
    <w:rsid w:val="0065027F"/>
    <w:rsid w:val="0066062E"/>
    <w:rsid w:val="00660F38"/>
    <w:rsid w:val="00676AF4"/>
    <w:rsid w:val="0069211D"/>
    <w:rsid w:val="00696DE0"/>
    <w:rsid w:val="006F7EDD"/>
    <w:rsid w:val="00701890"/>
    <w:rsid w:val="007125A8"/>
    <w:rsid w:val="00733DEB"/>
    <w:rsid w:val="00743D16"/>
    <w:rsid w:val="007460E0"/>
    <w:rsid w:val="00771FAB"/>
    <w:rsid w:val="00790E6B"/>
    <w:rsid w:val="007E1569"/>
    <w:rsid w:val="007E1F05"/>
    <w:rsid w:val="007F0960"/>
    <w:rsid w:val="007F5CA6"/>
    <w:rsid w:val="008225F6"/>
    <w:rsid w:val="00851BD7"/>
    <w:rsid w:val="00877673"/>
    <w:rsid w:val="0089098E"/>
    <w:rsid w:val="008A2934"/>
    <w:rsid w:val="008C2B32"/>
    <w:rsid w:val="008C6974"/>
    <w:rsid w:val="009050BE"/>
    <w:rsid w:val="00915851"/>
    <w:rsid w:val="0091597B"/>
    <w:rsid w:val="00922013"/>
    <w:rsid w:val="00952A30"/>
    <w:rsid w:val="0096796B"/>
    <w:rsid w:val="009C4C42"/>
    <w:rsid w:val="009C7683"/>
    <w:rsid w:val="009E38C6"/>
    <w:rsid w:val="00A12F31"/>
    <w:rsid w:val="00A30273"/>
    <w:rsid w:val="00A35C20"/>
    <w:rsid w:val="00AD7FAF"/>
    <w:rsid w:val="00AE3F7C"/>
    <w:rsid w:val="00B0181C"/>
    <w:rsid w:val="00B1525B"/>
    <w:rsid w:val="00B156C9"/>
    <w:rsid w:val="00B203DA"/>
    <w:rsid w:val="00B251F7"/>
    <w:rsid w:val="00B36B17"/>
    <w:rsid w:val="00B36EF9"/>
    <w:rsid w:val="00B420F0"/>
    <w:rsid w:val="00B503D3"/>
    <w:rsid w:val="00B53EB3"/>
    <w:rsid w:val="00B54E39"/>
    <w:rsid w:val="00B9468C"/>
    <w:rsid w:val="00BA77F4"/>
    <w:rsid w:val="00BC1776"/>
    <w:rsid w:val="00C30ABC"/>
    <w:rsid w:val="00C32073"/>
    <w:rsid w:val="00C638B8"/>
    <w:rsid w:val="00C6765F"/>
    <w:rsid w:val="00C7011A"/>
    <w:rsid w:val="00C703B4"/>
    <w:rsid w:val="00CC0CC7"/>
    <w:rsid w:val="00CC3097"/>
    <w:rsid w:val="00D111F8"/>
    <w:rsid w:val="00D130D1"/>
    <w:rsid w:val="00D16904"/>
    <w:rsid w:val="00D2082E"/>
    <w:rsid w:val="00D2525B"/>
    <w:rsid w:val="00D36F95"/>
    <w:rsid w:val="00D37B78"/>
    <w:rsid w:val="00D70BEF"/>
    <w:rsid w:val="00DD46C7"/>
    <w:rsid w:val="00DF3D42"/>
    <w:rsid w:val="00E269E2"/>
    <w:rsid w:val="00E27538"/>
    <w:rsid w:val="00E3480D"/>
    <w:rsid w:val="00E36009"/>
    <w:rsid w:val="00E43B67"/>
    <w:rsid w:val="00E52F96"/>
    <w:rsid w:val="00E70332"/>
    <w:rsid w:val="00E77D2B"/>
    <w:rsid w:val="00E91CDA"/>
    <w:rsid w:val="00E95BCA"/>
    <w:rsid w:val="00E96C6E"/>
    <w:rsid w:val="00EA7019"/>
    <w:rsid w:val="00EC494C"/>
    <w:rsid w:val="00EF366C"/>
    <w:rsid w:val="00F0081B"/>
    <w:rsid w:val="00F05BB3"/>
    <w:rsid w:val="00F26BCE"/>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6B39A"/>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 w:type="paragraph" w:styleId="NormalnyWeb">
    <w:name w:val="Normal (Web)"/>
    <w:basedOn w:val="Normalny"/>
    <w:semiHidden/>
    <w:rsid w:val="002000F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DE6A5-6278-4D22-826D-9222A034F6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913A35-388A-4036-8480-DBC9D2E1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7669</Words>
  <Characters>46014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4</cp:revision>
  <cp:lastPrinted>2024-10-21T12:28:00Z</cp:lastPrinted>
  <dcterms:created xsi:type="dcterms:W3CDTF">2025-01-10T09:39:00Z</dcterms:created>
  <dcterms:modified xsi:type="dcterms:W3CDTF">2025-01-10T10:45:00Z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