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b w:val="false"/>
          <w:color w:val="579D1C"/>
          <w:sz w:val="21"/>
          <w:szCs w:val="21"/>
          <w:u w:val="none"/>
        </w:rPr>
      </w:pPr>
      <w:r>
        <w:rPr>
          <w:rFonts w:ascii="Times New Roman" w:hAnsi="Times New Roman"/>
          <w:b w:val="false"/>
          <w:color w:val="579D1C"/>
          <w:sz w:val="21"/>
          <w:szCs w:val="21"/>
          <w:u w:val="none"/>
        </w:rPr>
        <w:t xml:space="preserve">Modyfikacja z dn. 21.11.2023 r. </w:t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eastAsia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bCs/>
          <w:sz w:val="24"/>
          <w:szCs w:val="24"/>
        </w:rPr>
        <w:t>Rewitalizacja Parku historycznego przy kościele Św. Trójcy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 5.1.4.4 SWZ.:</w:t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highlight w:val="none"/>
          <w:shd w:fill="auto" w:val="clear"/>
        </w:rPr>
      </w:pPr>
      <w:r>
        <w:rPr>
          <w:rFonts w:eastAsia="Constantia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ar-SA" w:bidi="zxx"/>
        </w:rPr>
        <w:t>skierujemy do realizacji zam</w:t>
      </w:r>
      <w:r>
        <w:rPr>
          <w:rFonts w:ascii="Times New Roman" w:hAnsi="Times New Roman"/>
          <w:color w:val="00000A"/>
          <w:sz w:val="24"/>
          <w:shd w:fill="auto" w:val="clear"/>
        </w:rPr>
        <w:t>ówienia osobą posiadającą kwalifikacje do kierowania robotami budowlanymi w specjalności konstrukcyjno-budowlanej lub drogowej, która dodatkowo spełnia wymagania określone w art. 37C ustawy z dnia 23 lipca 2003 r. o ochronie zabytków i opiece nad zabytkami (t.j. Dz.U. z 2021 r., poz. 710), tj. która przez co najmniej 18 miesięcy brała udział w robotach budowlanych prowadzonych przy zabytkach nieruchomych wpisanych do rejestru lub inwentarza muzeum będącego instytucją kultury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Standard"/>
        <w:spacing w:lineRule="auto" w:line="360"/>
        <w:ind w:hanging="0" w:left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iCs/>
          <w:sz w:val="24"/>
          <w:szCs w:val="24"/>
          <w:shd w:fill="auto" w:val="clear"/>
        </w:rPr>
        <w:t>Imię i nazwisko ………………………………...nr uprawnień ………………………...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 w:val="false"/>
          <w:bCs w:val="false"/>
          <w:color w:val="00000A"/>
          <w:kern w:val="2"/>
          <w:sz w:val="24"/>
          <w:szCs w:val="24"/>
          <w:highlight w:val="none"/>
          <w:shd w:fill="auto" w:val="clear"/>
          <w:lang w:eastAsia="zh-CN"/>
        </w:rPr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>oraz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 w:val="false"/>
          <w:bCs w:val="false"/>
          <w:color w:val="00000A"/>
          <w:kern w:val="2"/>
          <w:sz w:val="24"/>
          <w:szCs w:val="24"/>
          <w:highlight w:val="none"/>
          <w:shd w:fill="auto" w:val="clear"/>
          <w:lang w:eastAsia="zh-CN"/>
        </w:rPr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360" w:before="60" w:after="0"/>
        <w:ind w:hanging="0" w:left="737" w:right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shd w:fill="auto" w:val="clear"/>
          <w:lang w:eastAsia="zh-CN"/>
        </w:rPr>
        <w:t>skierujemy do realizacji osobę posiadającą wykształcenie wyższe na kierunku: ochrona środowiska lub ogrodnictwo lub leśnictwo lub rolnictwo lub architektura krajobrazu, która będzie sprawować nadzór dendrologiczny nad robotami w zakresie terenów zieleni (wycinka, pielęgnacja, nasadzenia i ochrona drzew).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andard"/>
        <w:spacing w:lineRule="auto" w:line="360"/>
        <w:ind w:hanging="0" w:left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Imię i nazwisko ………………………………...</w:t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cs="Times New Roman" w:ascii="Times New Roman" w:hAnsi="Times New Roman"/>
          <w:b/>
          <w:iCs/>
          <w:sz w:val="24"/>
          <w:szCs w:val="24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Oświadczam, że nie podlegam wykluczeniu z postępowania na podstawie art. 108 ust. 1 pkt 1-6 ustawy Pzp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a także art. 109 ust. 1 pkt 8 oraz 10 ustawy Pzp.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color w:val="579D1C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ListParagraph"/>
        <w:spacing w:lineRule="auto" w:line="360" w:before="0" w:after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color w:val="579D1C"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i/>
          <w:iCs/>
          <w:color w:val="579D1C"/>
          <w:sz w:val="24"/>
          <w:szCs w:val="24"/>
        </w:rPr>
        <w:t>.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color w:val="579D1C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1) ………………………………………………..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2) ………………………………………………..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oraz</w:t>
      </w:r>
    </w:p>
    <w:p>
      <w:pPr>
        <w:pStyle w:val="Standard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579D1C"/>
        </w:rPr>
        <w:t>Jednocześnie oświadczam, że nie podlegam wykluczeniu na podstawie pozostałych przesłanek określonych w art. 108 ust.1 ustawy Pzp</w:t>
      </w:r>
      <w:r>
        <w:rPr>
          <w:i/>
          <w:iCs/>
          <w:color w:val="579D1C"/>
        </w:rPr>
        <w:t xml:space="preserve"> </w:t>
      </w:r>
      <w:r>
        <w:rPr>
          <w:color w:val="579D1C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4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</w:r>
  </w:p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ZPIF.271.34.2023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LibreOffice/7.6.2.1$Windows_X86_64 LibreOffice_project/56f7684011345957bbf33a7ee678afaf4d2ba333</Application>
  <AppVersion>15.0000</AppVersion>
  <Pages>4</Pages>
  <Words>805</Words>
  <Characters>5659</Characters>
  <CharactersWithSpaces>6561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2023-11-21T09:30:37Z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