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00E" w14:textId="51FE869C" w:rsidR="00DC2112" w:rsidRDefault="00C16BF5" w:rsidP="00DC2112">
      <w:pPr>
        <w:spacing w:after="240"/>
        <w:ind w:left="-425" w:right="284"/>
        <w:jc w:val="right"/>
        <w:rPr>
          <w:b/>
          <w:i/>
          <w:sz w:val="21"/>
          <w:szCs w:val="21"/>
        </w:rPr>
      </w:pPr>
      <w:r w:rsidRPr="00916B5C">
        <w:tab/>
      </w:r>
      <w:r w:rsidRPr="00916B5C">
        <w:tab/>
      </w:r>
      <w:r w:rsidR="00DC2112" w:rsidRPr="000F3155">
        <w:rPr>
          <w:b/>
          <w:i/>
          <w:sz w:val="21"/>
          <w:szCs w:val="21"/>
        </w:rPr>
        <w:t xml:space="preserve">Załącznik nr </w:t>
      </w:r>
      <w:r w:rsidR="003D415C">
        <w:rPr>
          <w:b/>
          <w:i/>
          <w:sz w:val="21"/>
          <w:szCs w:val="21"/>
        </w:rPr>
        <w:t xml:space="preserve">6 </w:t>
      </w:r>
      <w:r w:rsidR="00DC2112" w:rsidRPr="000F3155">
        <w:rPr>
          <w:b/>
          <w:i/>
          <w:sz w:val="21"/>
          <w:szCs w:val="21"/>
        </w:rPr>
        <w:t>do SWZ</w:t>
      </w:r>
    </w:p>
    <w:p w14:paraId="1AD733EA" w14:textId="40AD6EDB" w:rsidR="009F4DE2" w:rsidRDefault="009F4DE2" w:rsidP="009F4DE2">
      <w:pPr>
        <w:spacing w:after="240"/>
        <w:rPr>
          <w:b/>
          <w:i/>
          <w:sz w:val="21"/>
          <w:szCs w:val="21"/>
        </w:rPr>
      </w:pPr>
      <w:r w:rsidRPr="008A6CEF">
        <w:rPr>
          <w:rFonts w:eastAsia="Times New Roman"/>
          <w:b/>
        </w:rPr>
        <w:t xml:space="preserve">Znak postępowania: </w:t>
      </w:r>
      <w:r w:rsidR="003D415C">
        <w:rPr>
          <w:b/>
        </w:rPr>
        <w:t>GKR.272.1</w:t>
      </w:r>
      <w:r w:rsidR="00321EFF">
        <w:rPr>
          <w:b/>
        </w:rPr>
        <w:t>2</w:t>
      </w:r>
      <w:r w:rsidR="003D415C">
        <w:rPr>
          <w:b/>
        </w:rPr>
        <w:t>.2023.TG</w:t>
      </w:r>
    </w:p>
    <w:p w14:paraId="77B46AB9" w14:textId="4577DB85" w:rsidR="00C707FC" w:rsidRPr="00DC2112" w:rsidRDefault="0044261E" w:rsidP="00E40945">
      <w:pPr>
        <w:spacing w:before="480" w:line="276" w:lineRule="auto"/>
        <w:ind w:left="136"/>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Pr>
          <w:b/>
          <w:smallCaps/>
          <w:sz w:val="28"/>
        </w:rPr>
        <w:t>3</w:t>
      </w:r>
    </w:p>
    <w:p w14:paraId="5E2848E9" w14:textId="2024B49F"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5E3292">
        <w:rPr>
          <w:rFonts w:ascii="Times New Roman" w:hAnsi="Times New Roman" w:cs="Times New Roman"/>
          <w:sz w:val="24"/>
          <w:szCs w:val="24"/>
        </w:rPr>
        <w:t>3</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77777777"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5F66FF63" w:rsidR="00A902D7" w:rsidRPr="003D415C" w:rsidRDefault="00A902D7" w:rsidP="003D415C">
      <w:pPr>
        <w:tabs>
          <w:tab w:val="left" w:pos="708"/>
          <w:tab w:val="num" w:pos="785"/>
        </w:tabs>
        <w:suppressAutoHyphens/>
        <w:spacing w:before="240" w:line="276" w:lineRule="auto"/>
        <w:ind w:left="0" w:right="-6" w:firstLine="0"/>
        <w:rPr>
          <w:b/>
        </w:rPr>
      </w:pPr>
      <w:r>
        <w:rPr>
          <w:noProof/>
        </w:rPr>
        <w:t xml:space="preserve">w wyniku przeprowadzenia przez Zamawiającego postępowania o udzielenie zamówienia publicznego pn. </w:t>
      </w:r>
      <w:bookmarkStart w:id="0" w:name="_Hlk129610769"/>
      <w:r w:rsidRPr="00B30A1A">
        <w:rPr>
          <w:rFonts w:eastAsia="Times New Roman"/>
          <w:b/>
        </w:rPr>
        <w:t>„</w:t>
      </w:r>
      <w:r w:rsidR="003D415C" w:rsidRPr="003D415C">
        <w:rPr>
          <w:b/>
        </w:rPr>
        <w:t xml:space="preserve">BUDOWA STREFY AKTYWNOŚCI GOSPODARCZEJ W CZARNYM BORZE ETAP II – BUDOWA DROGI WRAZ Z INFRASTRUKTURĄ – Część 1 </w:t>
      </w:r>
      <w:r w:rsidR="003D415C" w:rsidRPr="003D415C">
        <w:rPr>
          <w:b/>
        </w:rPr>
        <w:lastRenderedPageBreak/>
        <w:t>Oświetlenie i Część 2 Sieć teletechniczna</w:t>
      </w:r>
      <w:r w:rsidRPr="00B30A1A">
        <w:rPr>
          <w:b/>
          <w:bCs/>
        </w:rPr>
        <w:t>”,</w:t>
      </w:r>
      <w:bookmarkEnd w:id="0"/>
      <w:r>
        <w:rPr>
          <w:b/>
          <w:bCs/>
          <w:noProof/>
        </w:rPr>
        <w:t xml:space="preserve"> (znak: </w:t>
      </w:r>
      <w:r w:rsidR="003D415C">
        <w:rPr>
          <w:b/>
          <w:bCs/>
          <w:noProof/>
        </w:rPr>
        <w:t>GKR.272.1</w:t>
      </w:r>
      <w:r w:rsidR="00321EFF">
        <w:rPr>
          <w:b/>
          <w:bCs/>
          <w:noProof/>
        </w:rPr>
        <w:t>2</w:t>
      </w:r>
      <w:r w:rsidR="003D415C">
        <w:rPr>
          <w:b/>
          <w:bCs/>
          <w:noProof/>
        </w:rPr>
        <w:t>.2023.TG</w:t>
      </w:r>
      <w:r>
        <w:rPr>
          <w:b/>
          <w:bCs/>
          <w:noProof/>
        </w:rPr>
        <w:t>)</w:t>
      </w:r>
      <w:r>
        <w:rPr>
          <w:noProof/>
        </w:rPr>
        <w:t xml:space="preserve"> prowadzonego </w:t>
      </w:r>
      <w:r w:rsidR="003D415C">
        <w:rPr>
          <w:noProof/>
        </w:rPr>
        <w:br/>
      </w:r>
      <w:r>
        <w:rPr>
          <w:noProof/>
        </w:rPr>
        <w:t xml:space="preserve">w trybie podstawowym, w oparciu o art. 275 pkt 2 ustawy z dnia 11 września 2019 r. (Dz. U. </w:t>
      </w:r>
      <w:r w:rsidR="003D415C">
        <w:rPr>
          <w:noProof/>
        </w:rPr>
        <w:br/>
      </w:r>
      <w:r>
        <w:rPr>
          <w:noProof/>
        </w:rPr>
        <w:t>z 202</w:t>
      </w:r>
      <w:r w:rsidR="003D415C">
        <w:rPr>
          <w:noProof/>
        </w:rPr>
        <w:t>3</w:t>
      </w:r>
      <w:r>
        <w:rPr>
          <w:noProof/>
        </w:rPr>
        <w:t xml:space="preserve"> r. poz. </w:t>
      </w:r>
      <w:r w:rsidR="003D415C">
        <w:rPr>
          <w:noProof/>
        </w:rPr>
        <w:t>1605</w:t>
      </w:r>
      <w:r>
        <w:rPr>
          <w:noProof/>
        </w:rPr>
        <w:t xml:space="preserve">.), </w:t>
      </w:r>
      <w:r w:rsidR="003D415C" w:rsidRPr="003D415C">
        <w:rPr>
          <w:noProof/>
        </w:rPr>
        <w:t>dofinansowan</w:t>
      </w:r>
      <w:r w:rsidR="003D415C">
        <w:rPr>
          <w:noProof/>
        </w:rPr>
        <w:t>ego</w:t>
      </w:r>
      <w:r w:rsidR="003D415C" w:rsidRPr="003D415C">
        <w:rPr>
          <w:noProof/>
        </w:rPr>
        <w:t xml:space="preserve"> ze środków RPO WD 2014-2020 –Budowa strefy aktywności gospodarczej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262404B2"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493D80" w:rsidRPr="00493D80">
        <w:rPr>
          <w:b/>
          <w:bCs/>
          <w:noProof/>
        </w:rPr>
        <w:t>„</w:t>
      </w:r>
      <w:r w:rsidR="003D415C" w:rsidRPr="003D415C">
        <w:rPr>
          <w:b/>
        </w:rPr>
        <w:t>BUDOWA STREFY AKTYWNOŚCI GOSPODARCZEJ W CZARNYM BORZE ETAP II – BUDOWA DROGI WRAZ Z INFRASTRUKTURĄ – Część 1 Oświetlenie i Część 2 Sieć teletechniczna</w:t>
      </w:r>
      <w:r w:rsidR="00493D80" w:rsidRPr="00493D80">
        <w:rPr>
          <w:b/>
          <w:bCs/>
          <w:noProof/>
        </w:rPr>
        <w:t>”</w:t>
      </w:r>
      <w:r w:rsidR="003D415C">
        <w:t xml:space="preserve"> w Części … (*wpisać </w:t>
      </w:r>
      <w:r w:rsidR="009461A2">
        <w:t>Część,</w:t>
      </w:r>
      <w:r w:rsidR="003D415C">
        <w:t xml:space="preserve"> na którą została złożona oferta).</w:t>
      </w:r>
    </w:p>
    <w:p w14:paraId="0E79DDEE" w14:textId="6624535F" w:rsidR="0016050C" w:rsidRPr="00916B5C" w:rsidRDefault="002B1019" w:rsidP="0016050C">
      <w:pPr>
        <w:numPr>
          <w:ilvl w:val="0"/>
          <w:numId w:val="14"/>
        </w:numPr>
        <w:tabs>
          <w:tab w:val="left" w:pos="709"/>
        </w:tabs>
        <w:spacing w:line="276" w:lineRule="auto"/>
        <w:ind w:left="426" w:hanging="502"/>
      </w:pPr>
      <w:r w:rsidRPr="00916B5C">
        <w:t>Opis przedmiotu zamówienia oraz szczegółowy zakres robót objętych umową określa</w:t>
      </w:r>
      <w:r w:rsidR="00B05559" w:rsidRPr="00916B5C">
        <w:t>ją:</w:t>
      </w:r>
      <w:r w:rsidRPr="00916B5C">
        <w:t xml:space="preserve"> </w:t>
      </w:r>
      <w:r w:rsidR="0016050C">
        <w:t xml:space="preserve">załącznik nr 1 </w:t>
      </w:r>
      <w:r w:rsidR="003D415C">
        <w:t xml:space="preserve">i 2 </w:t>
      </w:r>
      <w:r w:rsidR="0016050C">
        <w:t>do SWZ - dokumentacja projektowa</w:t>
      </w:r>
      <w:r w:rsidR="003D415C">
        <w:t xml:space="preserve"> (*zaznaczyć właściwy załącznik, zgodnie z Częścią na jaką została złożona oferta)</w:t>
      </w:r>
      <w:r w:rsidRPr="00916B5C">
        <w:t>, 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w:t>
      </w:r>
      <w:r w:rsidRPr="00916B5C">
        <w:lastRenderedPageBreak/>
        <w:t xml:space="preserve">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lastRenderedPageBreak/>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3F4836F1"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w:t>
      </w:r>
      <w:r w:rsidR="002A6D33">
        <w:t xml:space="preserve">dotyczącego Części </w:t>
      </w:r>
      <w:r w:rsidR="009461A2">
        <w:t>….</w:t>
      </w:r>
      <w:r w:rsidR="002A6D33">
        <w:t xml:space="preserve"> (* </w:t>
      </w:r>
      <w:r w:rsidR="009461A2">
        <w:rPr>
          <w:i/>
          <w:iCs/>
        </w:rPr>
        <w:t>wpisać zgodnie z ofertą)</w:t>
      </w:r>
      <w:r w:rsidR="002A6D33">
        <w:t xml:space="preserve"> </w:t>
      </w:r>
      <w:r w:rsidRPr="0074020C">
        <w:t xml:space="preserve">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709255D9" w14:textId="3600136E" w:rsidR="00321EFF" w:rsidRDefault="007572FE" w:rsidP="00321EFF">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sidR="009461A2">
        <w:rPr>
          <w:color w:val="000000" w:themeColor="text1"/>
        </w:rPr>
        <w:t>w jednej transzy, płatnej,</w:t>
      </w:r>
      <w:r w:rsidR="009461A2">
        <w:rPr>
          <w:color w:val="000000" w:themeColor="text1"/>
        </w:rPr>
        <w:br/>
      </w:r>
      <w:r w:rsidRPr="009461A2">
        <w:rPr>
          <w:rStyle w:val="Wyrnieniedelikatne"/>
          <w:i w:val="0"/>
          <w:iCs w:val="0"/>
          <w:color w:val="000000" w:themeColor="text1"/>
        </w:rPr>
        <w:t>w terminie</w:t>
      </w:r>
      <w:r w:rsidR="00A17CD0">
        <w:rPr>
          <w:rStyle w:val="Wyrnieniedelikatne"/>
          <w:i w:val="0"/>
          <w:iCs w:val="0"/>
          <w:color w:val="000000" w:themeColor="text1"/>
        </w:rPr>
        <w:t xml:space="preserve"> do</w:t>
      </w:r>
      <w:r w:rsidRPr="009461A2">
        <w:rPr>
          <w:rStyle w:val="Wyrnieniedelikatne"/>
          <w:i w:val="0"/>
          <w:iCs w:val="0"/>
          <w:color w:val="000000" w:themeColor="text1"/>
        </w:rPr>
        <w:t xml:space="preserve"> 30 dni od daty doręczenia Zamawiającemu kompletnych dokumentów potwierdzających realizacj</w:t>
      </w:r>
      <w:r w:rsidR="009461A2">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009461A2" w:rsidRPr="00956DD5">
        <w:rPr>
          <w:rFonts w:eastAsia="Calibri"/>
        </w:rPr>
        <w:t xml:space="preserve">w oparciu o fakturę </w:t>
      </w:r>
      <w:r w:rsidR="009461A2">
        <w:rPr>
          <w:rFonts w:eastAsia="Calibri"/>
        </w:rPr>
        <w:t xml:space="preserve">wystawioną </w:t>
      </w:r>
      <w:r w:rsidR="009461A2">
        <w:rPr>
          <w:rFonts w:eastAsia="Calibri"/>
        </w:rPr>
        <w:br/>
        <w:t>po podpisaniu</w:t>
      </w:r>
      <w:r w:rsidR="009461A2" w:rsidRPr="00956DD5">
        <w:rPr>
          <w:rFonts w:eastAsia="Calibri"/>
        </w:rPr>
        <w:t xml:space="preserve"> protokołu odbioru końcowego</w:t>
      </w:r>
      <w:r w:rsidR="009461A2">
        <w:rPr>
          <w:rFonts w:eastAsia="Calibri"/>
        </w:rPr>
        <w:t>.</w:t>
      </w:r>
    </w:p>
    <w:p w14:paraId="3374D204" w14:textId="77777777" w:rsidR="00321EFF" w:rsidRDefault="00321EFF" w:rsidP="00321EFF">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 xml:space="preserve">Na fakturze Wykonawca zobowiązany jest podać datę i numer umowy, której dotyczy </w:t>
      </w:r>
      <w:r w:rsidRPr="00916B5C">
        <w:lastRenderedPageBreak/>
        <w:t>wystawiona faktura.</w:t>
      </w:r>
    </w:p>
    <w:p w14:paraId="0CD86642" w14:textId="4560F3C6" w:rsidR="007572FE" w:rsidRPr="00321EFF" w:rsidRDefault="007572FE" w:rsidP="00321EFF">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64D7AA8C"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388C3985" w14:textId="77777777" w:rsidR="007572FE" w:rsidRPr="008801FA"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768764A7" w14:textId="77777777" w:rsidR="007572FE" w:rsidRPr="008801FA" w:rsidRDefault="007572FE" w:rsidP="007572FE">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432D437E"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3A83171C"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521A5AF2" w14:textId="77777777" w:rsidR="007572FE" w:rsidRPr="00C00B77" w:rsidRDefault="007572FE" w:rsidP="007572FE">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581FE495" w14:textId="589E89B3" w:rsidR="007572FE" w:rsidRPr="0067682C"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79596A">
        <w:rPr>
          <w:rFonts w:eastAsia="Calibri"/>
        </w:rPr>
        <w:t>9</w:t>
      </w:r>
      <w:r w:rsidRPr="00820C58">
        <w:rPr>
          <w:rFonts w:eastAsia="Calibri"/>
        </w:rPr>
        <w:t>, 1</w:t>
      </w:r>
      <w:r w:rsidR="0079596A">
        <w:rPr>
          <w:rFonts w:eastAsia="Calibri"/>
        </w:rPr>
        <w:t>0</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5A910CD5" w14:textId="336C0B0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79596A">
        <w:rPr>
          <w:rFonts w:eastAsia="Calibri"/>
        </w:rPr>
        <w:t>9</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xml:space="preserve">- o ile zaliczki zostały udzielone przez Wykonawcę) </w:t>
      </w:r>
      <w:r w:rsidRPr="00331A35">
        <w:rPr>
          <w:rFonts w:eastAsia="Calibri"/>
        </w:rPr>
        <w:lastRenderedPageBreak/>
        <w:t>w</w:t>
      </w:r>
      <w:r>
        <w:rPr>
          <w:rFonts w:eastAsia="Calibri"/>
        </w:rPr>
        <w:t> </w:t>
      </w:r>
      <w:r w:rsidRPr="00331A35">
        <w:rPr>
          <w:rFonts w:eastAsia="Calibri"/>
        </w:rPr>
        <w:t xml:space="preserve">związku z realizacją zakresu robót/ dostaw/ usług stanowiących przedmiot fakturowania. </w:t>
      </w:r>
    </w:p>
    <w:p w14:paraId="09A62604" w14:textId="7777777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460D2ABD" w14:textId="020A16AF"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79596A">
        <w:rPr>
          <w:rFonts w:eastAsia="Calibri"/>
        </w:rPr>
        <w:t>9</w:t>
      </w:r>
      <w:r>
        <w:rPr>
          <w:rFonts w:eastAsia="Calibri"/>
        </w:rPr>
        <w:t>, 1</w:t>
      </w:r>
      <w:r w:rsidR="0079596A">
        <w:rPr>
          <w:rFonts w:eastAsia="Calibri"/>
        </w:rPr>
        <w:t>0</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022D72D9" w14:textId="77777777"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249BAEAC" w14:textId="35CF204B"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sidR="0079596A">
        <w:rPr>
          <w:rFonts w:eastAsia="Calibri"/>
        </w:rPr>
        <w:t>1</w:t>
      </w:r>
      <w:r w:rsidRPr="00E42B81">
        <w:rPr>
          <w:rFonts w:eastAsia="Calibri"/>
        </w:rPr>
        <w:t xml:space="preserve"> powyżej, Zamawiający ma prawo: </w:t>
      </w:r>
    </w:p>
    <w:p w14:paraId="0388CD0A"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322EA6DD"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42C448E6"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7F2D6682" w14:textId="14E8F40F" w:rsidR="007572F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79596A">
        <w:rPr>
          <w:rFonts w:eastAsia="Calibri"/>
        </w:rPr>
        <w:t>9</w:t>
      </w:r>
      <w:r>
        <w:rPr>
          <w:rFonts w:eastAsia="Calibri"/>
        </w:rPr>
        <w:t xml:space="preserve"> i 1</w:t>
      </w:r>
      <w:r w:rsidR="0079596A">
        <w:rPr>
          <w:rFonts w:eastAsia="Calibri"/>
        </w:rPr>
        <w:t>0</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BC289F5"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413331E1"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Okres do czasu uzyskania przez Wykonawcę wpisu rachunku bankowego do przedmiotowego wykazu lub wskazania nowego rachunku bankowego ujawnionego </w:t>
      </w:r>
      <w:r w:rsidRPr="009070F1">
        <w:rPr>
          <w:rFonts w:eastAsia="Calibri"/>
        </w:rPr>
        <w:lastRenderedPageBreak/>
        <w:t>w wykazie nie skutkuje nie dotrzymaniem przez Zamawiającego terminu płatności i nie uprawnia Wykonawcy do żądania odsetek.</w:t>
      </w:r>
    </w:p>
    <w:p w14:paraId="640D4F37"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6DA4DFF2"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6930477D"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7C337AEC"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5DFF9AE1"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31E5A05A"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14564C7" w14:textId="77777777" w:rsidR="007572FE" w:rsidRPr="008C64B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6E37F617"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74A2FB67"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79596A">
        <w:rPr>
          <w:rFonts w:eastAsia="Calibri"/>
        </w:rPr>
        <w:t>30 dni</w:t>
      </w:r>
      <w:r w:rsidR="007572FE">
        <w:rPr>
          <w:rFonts w:eastAsia="Calibri"/>
        </w:rPr>
        <w:t xml:space="preserve"> od 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w:t>
      </w:r>
      <w:r w:rsidRPr="00EE7E64">
        <w:lastRenderedPageBreak/>
        <w:t xml:space="preserve">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595B89F5"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79596A">
        <w:t>2</w:t>
      </w:r>
      <w:r w:rsidRPr="00916B5C">
        <w:t>4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lastRenderedPageBreak/>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 xml:space="preserve">poniesie koszty związane z pełnieniem nadzoru </w:t>
      </w:r>
      <w:r w:rsidRPr="00D42B9F">
        <w:lastRenderedPageBreak/>
        <w:t>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lastRenderedPageBreak/>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lastRenderedPageBreak/>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6D801A21"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p>
    <w:p w14:paraId="4B6FE1BA" w14:textId="164AC59D"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p>
    <w:p w14:paraId="1E3387A5" w14:textId="77777777" w:rsidR="002B1019" w:rsidRPr="00916B5C" w:rsidRDefault="002B1019">
      <w:pPr>
        <w:widowControl w:val="0"/>
        <w:numPr>
          <w:ilvl w:val="0"/>
          <w:numId w:val="20"/>
        </w:numPr>
        <w:spacing w:after="40" w:line="276" w:lineRule="auto"/>
        <w:ind w:left="709" w:hanging="425"/>
      </w:pPr>
      <w:r w:rsidRPr="00916B5C">
        <w:lastRenderedPageBreak/>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lastRenderedPageBreak/>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w:t>
      </w:r>
      <w:r w:rsidRPr="005E5D84">
        <w:rPr>
          <w:rFonts w:eastAsia="Calibri"/>
        </w:rPr>
        <w:lastRenderedPageBreak/>
        <w:t xml:space="preserve">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lastRenderedPageBreak/>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lastRenderedPageBreak/>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W przypadkach spornych Zamawiający zawiadomi Wykonawcę o terminie i miejscu oględzin mających na celu ich wyjaśnienie. Niestawiennictwo Wykonawcy w terminie i miejscu </w:t>
      </w:r>
      <w:r w:rsidRPr="00751691">
        <w:rPr>
          <w:rFonts w:eastAsia="Calibri"/>
        </w:rPr>
        <w:lastRenderedPageBreak/>
        <w:t>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w:t>
      </w:r>
      <w:r w:rsidRPr="00751691">
        <w:rPr>
          <w:rFonts w:eastAsia="Calibri"/>
        </w:rPr>
        <w:lastRenderedPageBreak/>
        <w:t xml:space="preserve">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lastRenderedPageBreak/>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 xml:space="preserve">amawiającego umowy o podwykonawstwo, której przedmiotem są </w:t>
      </w:r>
      <w:r w:rsidRPr="00916B5C">
        <w:lastRenderedPageBreak/>
        <w:t>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 xml:space="preserve">W przypadku różnic w cenach jednostkowych za </w:t>
      </w:r>
      <w:r w:rsidRPr="00916B5C">
        <w:lastRenderedPageBreak/>
        <w:t>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w:t>
      </w:r>
      <w:r w:rsidRPr="001B79B1">
        <w:rPr>
          <w:rFonts w:eastAsia="Calibri"/>
        </w:rPr>
        <w:lastRenderedPageBreak/>
        <w:t xml:space="preserve">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w:t>
      </w:r>
      <w:r w:rsidRPr="00CE6305">
        <w:rPr>
          <w:rFonts w:eastAsia="Times New Roman"/>
        </w:rPr>
        <w:tab/>
        <w:t>przepisami, przeprowadzenie prób i sprawdzeń, dokonywanie odbiorów, wymagających konkretnych warunków atmosferycznych, jeżeli konieczność wykonania prac 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lastRenderedPageBreak/>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w:t>
      </w:r>
      <w:r w:rsidRPr="00CE6305">
        <w:rPr>
          <w:rFonts w:eastAsia="Times New Roman"/>
        </w:rPr>
        <w:lastRenderedPageBreak/>
        <w:t xml:space="preserve">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w:t>
      </w:r>
      <w:r w:rsidRPr="00CE6305">
        <w:rPr>
          <w:rFonts w:eastAsia="Times New Roman"/>
        </w:rPr>
        <w:lastRenderedPageBreak/>
        <w:t xml:space="preserve">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r>
      <w:r w:rsidRPr="00CE6305">
        <w:rPr>
          <w:rFonts w:eastAsia="Times New Roman"/>
        </w:rPr>
        <w:lastRenderedPageBreak/>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t>
      </w:r>
      <w:r w:rsidRPr="00916B5C">
        <w:rPr>
          <w:color w:val="333333"/>
        </w:rPr>
        <w:lastRenderedPageBreak/>
        <w:t xml:space="preserve">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108DD49"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w:t>
      </w:r>
      <w:r w:rsidRPr="00916B5C">
        <w:footnoteReference w:id="2"/>
      </w:r>
      <w:r w:rsidRPr="00916B5C">
        <w:t xml:space="preserve">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t>
      </w:r>
      <w:r w:rsidRPr="00916B5C">
        <w:rPr>
          <w:color w:val="333333"/>
        </w:rPr>
        <w:lastRenderedPageBreak/>
        <w:t>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77777777"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pozostaje w zwłoce w realizacji Umowy lub jej części, w stosunku do terminów przyjętych w Harmonogramie Rzeczowo-Finansowym, przez okres co najmniej 21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pomimo wezwania i wyznaczenia dodatkowego terminu nadal </w:t>
      </w:r>
      <w:r w:rsidRPr="000D5F93">
        <w:rPr>
          <w:rFonts w:eastAsia="Calibri"/>
        </w:rPr>
        <w:lastRenderedPageBreak/>
        <w:t>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w:t>
      </w:r>
      <w:r w:rsidRPr="00AE70D7">
        <w:lastRenderedPageBreak/>
        <w:t xml:space="preserve">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w:t>
      </w:r>
      <w:r w:rsidRPr="000D5F93">
        <w:lastRenderedPageBreak/>
        <w:t xml:space="preserve">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261534F6"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jeżeli zwłoka z tytułów, o których jest mowa w zdaniu poprzedzającym jest dłuższa niż 30 dni – 200,00 zł </w:t>
      </w:r>
      <w:r w:rsidR="003027B3">
        <w:rPr>
          <w:color w:val="000000"/>
        </w:rPr>
        <w:br/>
      </w:r>
      <w:r w:rsidRPr="00E05108">
        <w:rPr>
          <w:color w:val="000000"/>
        </w:rPr>
        <w:t xml:space="preserve">za każdy rozpoczęty dzień zwłoki, począwszy </w:t>
      </w:r>
      <w:r w:rsidR="00675620">
        <w:rPr>
          <w:color w:val="000000"/>
        </w:rPr>
        <w:t xml:space="preserve">odpowiednio od 30-eo albo </w:t>
      </w:r>
      <w:r w:rsidRPr="00E05108">
        <w:rPr>
          <w:color w:val="000000"/>
        </w:rPr>
        <w:t>od 31-ego dnia;</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w:t>
      </w:r>
      <w:r w:rsidRPr="00E05108">
        <w:rPr>
          <w:rFonts w:eastAsia="Calibri"/>
        </w:rPr>
        <w:lastRenderedPageBreak/>
        <w:t>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lastRenderedPageBreak/>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3"/>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przysługuje prawo do żądania od administratora danych dostępu do ich danych osobowych, ich sprostowania, usunięcia lub ograniczenia przetwarzania lub wniesienia sprzeciwu wobec ich przetwarzania, a także prawo </w:t>
      </w:r>
      <w:r w:rsidRPr="00BC416A">
        <w:rPr>
          <w:rFonts w:eastAsia="Times New Roman"/>
          <w:bCs/>
        </w:rPr>
        <w:lastRenderedPageBreak/>
        <w:t>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E8F214C"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Załącznik nr</w:t>
      </w:r>
      <w:proofErr w:type="gramStart"/>
      <w:r>
        <w:rPr>
          <w:color w:val="333333"/>
        </w:rPr>
        <w:t xml:space="preserve"> </w:t>
      </w:r>
      <w:r w:rsidR="00675620">
        <w:rPr>
          <w:color w:val="333333"/>
        </w:rPr>
        <w:t>..</w:t>
      </w:r>
      <w:proofErr w:type="gramEnd"/>
      <w:r>
        <w:rPr>
          <w:color w:val="333333"/>
        </w:rPr>
        <w:t xml:space="preserve"> do SWZ - </w:t>
      </w:r>
      <w:r w:rsidR="00315505">
        <w:rPr>
          <w:color w:val="333333"/>
        </w:rPr>
        <w:t xml:space="preserve">Dokumentacja </w:t>
      </w:r>
      <w:r>
        <w:rPr>
          <w:color w:val="333333"/>
        </w:rPr>
        <w:t>projektowa</w:t>
      </w:r>
      <w:r w:rsidR="00675620">
        <w:rPr>
          <w:color w:val="333333"/>
        </w:rPr>
        <w:t xml:space="preserve"> (*wpisać zgodnie z ofertą)</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 xml:space="preserve">Ewentualne zmiany postanowień Umowy wymagają, zachowania formy pisemnej pod rygorem nieważności, z wyjątkiem zmian dotyczących danych kontaktowych, adresów, </w:t>
      </w:r>
      <w:r w:rsidRPr="00851E8C">
        <w:rPr>
          <w:rFonts w:eastAsia="Calibri"/>
        </w:rPr>
        <w:lastRenderedPageBreak/>
        <w:t>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default" r:id="rId8"/>
      <w:footerReference w:type="even" r:id="rId9"/>
      <w:footerReference w:type="default" r:id="rId10"/>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601E" w14:textId="77777777" w:rsidR="00490A6D" w:rsidRDefault="00490A6D">
      <w:r>
        <w:separator/>
      </w:r>
    </w:p>
  </w:endnote>
  <w:endnote w:type="continuationSeparator" w:id="0">
    <w:p w14:paraId="3D738DEC" w14:textId="77777777" w:rsidR="00490A6D" w:rsidRDefault="0049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8018" w14:textId="77777777" w:rsidR="00490A6D" w:rsidRDefault="00490A6D">
      <w:r>
        <w:separator/>
      </w:r>
    </w:p>
  </w:footnote>
  <w:footnote w:type="continuationSeparator" w:id="0">
    <w:p w14:paraId="6DB8F29D" w14:textId="77777777" w:rsidR="00490A6D" w:rsidRDefault="00490A6D">
      <w:r>
        <w:continuationSeparator/>
      </w:r>
    </w:p>
  </w:footnote>
  <w:footnote w:id="1">
    <w:p w14:paraId="73E8BB5A" w14:textId="77777777" w:rsidR="007572FE" w:rsidRPr="00506C1A" w:rsidRDefault="007572FE" w:rsidP="007572FE">
      <w:pPr>
        <w:pStyle w:val="Tekstprzypisudolnego"/>
      </w:pPr>
      <w:r>
        <w:rPr>
          <w:rStyle w:val="Odwoanieprzypisudolnego"/>
        </w:rPr>
        <w:footnoteRef/>
      </w:r>
      <w:r>
        <w:t xml:space="preserve"> D</w:t>
      </w:r>
      <w:r w:rsidRPr="00506C1A">
        <w:t>o wyboru przy podpisaniu Umowy</w:t>
      </w:r>
      <w:r>
        <w:t>.</w:t>
      </w:r>
    </w:p>
  </w:footnote>
  <w:footnote w:id="2">
    <w:p w14:paraId="43644019" w14:textId="77777777" w:rsidR="00A36209" w:rsidRPr="005E740F" w:rsidRDefault="00A36209" w:rsidP="00FD4714">
      <w:pPr>
        <w:pStyle w:val="Tekstprzypisudolnego"/>
        <w:jc w:val="both"/>
        <w:rPr>
          <w:rFonts w:ascii="Calibri" w:hAnsi="Calibri"/>
        </w:rPr>
      </w:pPr>
      <w:r w:rsidRPr="005E740F">
        <w:rPr>
          <w:rStyle w:val="Odwoanieprzypisudolnego"/>
          <w:rFonts w:ascii="Calibri" w:hAnsi="Calibri" w:cs="Arial"/>
          <w:sz w:val="16"/>
          <w:szCs w:val="16"/>
        </w:rPr>
        <w:footnoteRef/>
      </w:r>
      <w:r w:rsidRPr="005E740F">
        <w:rPr>
          <w:rFonts w:ascii="Calibri" w:hAnsi="Calibri" w:cs="Arial"/>
          <w:sz w:val="16"/>
          <w:szCs w:val="16"/>
        </w:rPr>
        <w:t xml:space="preserve"> Wy</w:t>
      </w:r>
      <w:r w:rsidRPr="005E740F">
        <w:rPr>
          <w:rFonts w:ascii="Calibri" w:hAnsi="Calibri" w:cs="Arial"/>
          <w:sz w:val="16"/>
          <w:szCs w:val="16"/>
          <w:lang w:val="pl-PL"/>
        </w:rPr>
        <w:t>szczególnienie</w:t>
      </w:r>
      <w:r w:rsidRPr="005E740F">
        <w:rPr>
          <w:rFonts w:ascii="Calibri" w:hAnsi="Calibri" w:cs="Arial"/>
          <w:sz w:val="16"/>
          <w:szCs w:val="16"/>
        </w:rPr>
        <w:t xml:space="preserve"> ma charakter przykładowy. Umowa o pracę może zawierać również inne dane, które podlegają anonimizacji. Każda umowa powinna zostać przeanalizowana przez składającego pod kątem przepisów ustawy z dnia 29 sierpnia 1997 r</w:t>
      </w:r>
      <w:r w:rsidRPr="005E740F">
        <w:rPr>
          <w:rFonts w:ascii="Calibri" w:hAnsi="Calibri" w:cs="Arial"/>
          <w:i/>
          <w:sz w:val="16"/>
          <w:szCs w:val="16"/>
        </w:rPr>
        <w:t>. o</w:t>
      </w:r>
      <w:r w:rsidRPr="005E740F">
        <w:rPr>
          <w:rFonts w:ascii="Calibri" w:hAnsi="Calibri" w:cs="Arial"/>
          <w:i/>
          <w:sz w:val="16"/>
          <w:szCs w:val="16"/>
          <w:lang w:val="pl-PL"/>
        </w:rPr>
        <w:t> </w:t>
      </w:r>
      <w:r w:rsidRPr="005E740F">
        <w:rPr>
          <w:rFonts w:ascii="Calibri" w:hAnsi="Calibri" w:cs="Arial"/>
          <w:i/>
          <w:sz w:val="16"/>
          <w:szCs w:val="16"/>
        </w:rPr>
        <w:t>ochronie danych osobowych</w:t>
      </w:r>
      <w:r w:rsidRPr="005E740F">
        <w:rPr>
          <w:rFonts w:ascii="Calibri" w:hAnsi="Calibri" w:cs="Arial"/>
          <w:sz w:val="16"/>
          <w:szCs w:val="16"/>
        </w:rPr>
        <w:t>; zakres anonimizacji umowy musi być zgodny z przepisami ww. ustawy.</w:t>
      </w:r>
      <w:r w:rsidRPr="005E740F">
        <w:rPr>
          <w:rFonts w:ascii="Calibri" w:hAnsi="Calibri"/>
        </w:rPr>
        <w:t xml:space="preserve"> </w:t>
      </w:r>
    </w:p>
  </w:footnote>
  <w:footnote w:id="3">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653" w14:textId="333198B5" w:rsidR="003D415C" w:rsidRDefault="003D415C">
    <w:pPr>
      <w:pStyle w:val="Nagwek"/>
    </w:pPr>
    <w:r>
      <w:rPr>
        <w:b/>
        <w:i/>
        <w:noProof/>
        <w:sz w:val="20"/>
      </w:rPr>
      <w:drawing>
        <wp:anchor distT="0" distB="0" distL="114300" distR="114300" simplePos="0" relativeHeight="251659264" behindDoc="1" locked="0" layoutInCell="1" allowOverlap="1" wp14:anchorId="10BC1B1E" wp14:editId="388507D3">
          <wp:simplePos x="0" y="0"/>
          <wp:positionH relativeFrom="column">
            <wp:posOffset>0</wp:posOffset>
          </wp:positionH>
          <wp:positionV relativeFrom="paragraph">
            <wp:posOffset>-283935</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144"/>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1EFF"/>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A6D"/>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17CD0"/>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DE0"/>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6DA7"/>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rsid w:val="008723E4"/>
    <w:rPr>
      <w:rFonts w:ascii="Courier New" w:hAnsi="Courier New" w:cs="Courier New"/>
      <w:sz w:val="20"/>
      <w:szCs w:val="20"/>
    </w:rPr>
  </w:style>
  <w:style w:type="character" w:customStyle="1" w:styleId="ZwykytekstZnak">
    <w:name w:val="Zwykły tekst Znak"/>
    <w:link w:val="Zwykytekst"/>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14330</Words>
  <Characters>85980</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100110</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3</cp:revision>
  <cp:lastPrinted>2020-08-24T07:48:00Z</cp:lastPrinted>
  <dcterms:created xsi:type="dcterms:W3CDTF">2023-10-19T05:17:00Z</dcterms:created>
  <dcterms:modified xsi:type="dcterms:W3CDTF">2023-10-19T05:19:00Z</dcterms:modified>
</cp:coreProperties>
</file>