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5550C" w14:textId="649496EC" w:rsidR="002A1C07" w:rsidRPr="00527153" w:rsidRDefault="002A1C07" w:rsidP="002A1C07">
      <w:pPr>
        <w:spacing w:after="0" w:line="319" w:lineRule="auto"/>
        <w:jc w:val="right"/>
        <w:rPr>
          <w:rFonts w:eastAsia="Calibri" w:cstheme="minorHAnsi"/>
          <w:kern w:val="0"/>
          <w14:ligatures w14:val="none"/>
        </w:rPr>
      </w:pPr>
      <w:r w:rsidRPr="00527153">
        <w:rPr>
          <w:rFonts w:eastAsia="Calibri" w:cstheme="minorHAnsi"/>
          <w:kern w:val="0"/>
          <w14:ligatures w14:val="none"/>
        </w:rPr>
        <w:softHyphen/>
        <w:t xml:space="preserve">Dopiewo, dnia   </w:t>
      </w:r>
      <w:r>
        <w:rPr>
          <w:rFonts w:eastAsia="Calibri" w:cstheme="minorHAnsi"/>
          <w:kern w:val="0"/>
          <w14:ligatures w14:val="none"/>
        </w:rPr>
        <w:t>14</w:t>
      </w:r>
      <w:r>
        <w:rPr>
          <w:rFonts w:eastAsia="Calibri" w:cstheme="minorHAnsi"/>
          <w:kern w:val="0"/>
          <w14:ligatures w14:val="none"/>
        </w:rPr>
        <w:t xml:space="preserve">   </w:t>
      </w:r>
      <w:r w:rsidRPr="00527153">
        <w:rPr>
          <w:rFonts w:eastAsia="Calibri" w:cstheme="minorHAnsi"/>
          <w:kern w:val="0"/>
          <w14:ligatures w14:val="none"/>
        </w:rPr>
        <w:t>czerwca 2024r.</w:t>
      </w:r>
    </w:p>
    <w:p w14:paraId="03CC98A9" w14:textId="77777777" w:rsidR="002A1C07" w:rsidRPr="00527153" w:rsidRDefault="002A1C07" w:rsidP="002A1C07">
      <w:pPr>
        <w:spacing w:after="0" w:line="319" w:lineRule="auto"/>
        <w:jc w:val="both"/>
        <w:rPr>
          <w:rFonts w:eastAsia="Calibri" w:cstheme="minorHAnsi"/>
          <w:b/>
          <w:bCs/>
          <w:kern w:val="0"/>
          <w14:ligatures w14:val="none"/>
        </w:rPr>
      </w:pPr>
      <w:r w:rsidRPr="00527153">
        <w:rPr>
          <w:rFonts w:eastAsia="Calibri" w:cstheme="minorHAnsi"/>
          <w:b/>
          <w:bCs/>
          <w:kern w:val="0"/>
          <w14:ligatures w14:val="none"/>
        </w:rPr>
        <w:t>ROA.271.12.2024</w:t>
      </w:r>
    </w:p>
    <w:p w14:paraId="5B094311" w14:textId="77777777" w:rsidR="002A1C07" w:rsidRPr="00527153" w:rsidRDefault="002A1C07" w:rsidP="002A1C07">
      <w:pPr>
        <w:spacing w:after="0" w:line="319" w:lineRule="auto"/>
        <w:jc w:val="both"/>
        <w:rPr>
          <w:rFonts w:eastAsia="Calibri" w:cstheme="minorHAnsi"/>
          <w:kern w:val="0"/>
          <w14:ligatures w14:val="none"/>
        </w:rPr>
      </w:pPr>
    </w:p>
    <w:p w14:paraId="0D5EBB72" w14:textId="77777777" w:rsidR="002A1C07" w:rsidRPr="00527153" w:rsidRDefault="002A1C07" w:rsidP="002A1C07">
      <w:pPr>
        <w:spacing w:after="0" w:line="319" w:lineRule="auto"/>
        <w:jc w:val="right"/>
        <w:rPr>
          <w:rFonts w:eastAsia="Calibri" w:cstheme="minorHAnsi"/>
          <w:b/>
          <w:bCs/>
          <w:kern w:val="0"/>
          <w14:ligatures w14:val="none"/>
        </w:rPr>
      </w:pPr>
      <w:r w:rsidRPr="00527153">
        <w:rPr>
          <w:rFonts w:eastAsia="Calibri" w:cstheme="minorHAnsi"/>
          <w:b/>
          <w:bCs/>
          <w:kern w:val="0"/>
          <w14:ligatures w14:val="none"/>
        </w:rPr>
        <w:t>Do wszystkich uczestników postępowania</w:t>
      </w:r>
    </w:p>
    <w:p w14:paraId="0649B6D8" w14:textId="77777777" w:rsidR="002A1C07" w:rsidRPr="00527153" w:rsidRDefault="002A1C07" w:rsidP="002A1C07">
      <w:pPr>
        <w:spacing w:after="0" w:line="319" w:lineRule="auto"/>
        <w:jc w:val="both"/>
        <w:rPr>
          <w:rFonts w:eastAsia="Calibri" w:cstheme="minorHAnsi"/>
          <w:kern w:val="0"/>
          <w14:ligatures w14:val="none"/>
        </w:rPr>
      </w:pPr>
    </w:p>
    <w:p w14:paraId="54F8394F" w14:textId="77777777" w:rsidR="002A1C07" w:rsidRPr="00527153" w:rsidRDefault="002A1C07" w:rsidP="002A1C07">
      <w:pPr>
        <w:tabs>
          <w:tab w:val="left" w:pos="426"/>
        </w:tabs>
        <w:spacing w:after="0" w:line="319" w:lineRule="auto"/>
        <w:contextualSpacing/>
        <w:jc w:val="both"/>
        <w:rPr>
          <w:rFonts w:cstheme="minorHAnsi"/>
          <w:b/>
          <w:kern w:val="3"/>
          <w14:ligatures w14:val="none"/>
        </w:rPr>
      </w:pPr>
      <w:bookmarkStart w:id="0" w:name="_Hlk161387932"/>
      <w:bookmarkStart w:id="1" w:name="_Hlk159924916"/>
      <w:r w:rsidRPr="00527153">
        <w:rPr>
          <w:rFonts w:eastAsia="Calibri" w:cstheme="minorHAnsi"/>
          <w:iCs/>
          <w:kern w:val="0"/>
          <w14:ligatures w14:val="none"/>
        </w:rPr>
        <w:t>Dotyczy: postępowania o udzielenie zamówienia publicznego pn.</w:t>
      </w:r>
      <w:r w:rsidRPr="00527153">
        <w:rPr>
          <w:rFonts w:eastAsia="Calibri" w:cstheme="minorHAnsi"/>
          <w:b/>
          <w:bCs/>
          <w:iCs/>
          <w:kern w:val="0"/>
          <w14:ligatures w14:val="none"/>
        </w:rPr>
        <w:t xml:space="preserve"> </w:t>
      </w:r>
      <w:bookmarkEnd w:id="0"/>
      <w:r w:rsidRPr="00527153">
        <w:rPr>
          <w:rFonts w:cstheme="minorHAnsi"/>
          <w:b/>
          <w:kern w:val="3"/>
          <w14:ligatures w14:val="none"/>
        </w:rPr>
        <w:t>Skórzewo – budowa ulic Strumykowej, Jowisza, Tęczowej, Porankowej i Księżycowej.</w:t>
      </w:r>
    </w:p>
    <w:p w14:paraId="51BB786B" w14:textId="77777777" w:rsidR="002A1C07" w:rsidRPr="00527153" w:rsidRDefault="002A1C07" w:rsidP="002A1C07">
      <w:pPr>
        <w:spacing w:after="0" w:line="319" w:lineRule="auto"/>
        <w:jc w:val="both"/>
        <w:rPr>
          <w:rFonts w:cstheme="minorHAnsi"/>
          <w:b/>
          <w:bCs/>
          <w:kern w:val="3"/>
          <w14:ligatures w14:val="none"/>
        </w:rPr>
      </w:pPr>
    </w:p>
    <w:bookmarkEnd w:id="1"/>
    <w:p w14:paraId="20079038" w14:textId="77777777" w:rsidR="002A1C07" w:rsidRPr="00527153" w:rsidRDefault="002A1C07" w:rsidP="002A1C07">
      <w:pPr>
        <w:pStyle w:val="Akapitzlist"/>
        <w:spacing w:after="0" w:line="319" w:lineRule="auto"/>
        <w:ind w:left="0" w:right="-142"/>
        <w:jc w:val="both"/>
        <w:rPr>
          <w:rFonts w:cstheme="minorHAnsi"/>
          <w:kern w:val="0"/>
          <w14:ligatures w14:val="none"/>
        </w:rPr>
      </w:pPr>
      <w:r w:rsidRPr="00527153">
        <w:rPr>
          <w:rFonts w:cstheme="minorHAnsi"/>
          <w:kern w:val="0"/>
          <w14:ligatures w14:val="none"/>
        </w:rPr>
        <w:t xml:space="preserve">Zamawiający informuje, że do niniejszego postępowania wpłynął wniosek o wyjaśnienie treści SWZ.  Działając na podstawie  art. 284 ust. 2 </w:t>
      </w:r>
      <w:proofErr w:type="spellStart"/>
      <w:r w:rsidRPr="00527153">
        <w:rPr>
          <w:rFonts w:cstheme="minorHAnsi"/>
          <w:kern w:val="0"/>
          <w14:ligatures w14:val="none"/>
        </w:rPr>
        <w:t>Pzp</w:t>
      </w:r>
      <w:proofErr w:type="spellEnd"/>
      <w:r w:rsidRPr="00527153">
        <w:rPr>
          <w:rFonts w:cstheme="minorHAnsi"/>
          <w:kern w:val="0"/>
          <w14:ligatures w14:val="none"/>
        </w:rPr>
        <w:t>, przekazujemy poniższe wyjaśnienia.</w:t>
      </w:r>
    </w:p>
    <w:p w14:paraId="5D3464AC" w14:textId="77777777" w:rsidR="002A1C07" w:rsidRPr="00527153" w:rsidRDefault="002A1C07" w:rsidP="002A1C07">
      <w:pPr>
        <w:spacing w:after="0" w:line="319" w:lineRule="auto"/>
        <w:rPr>
          <w:rFonts w:cstheme="minorHAnsi"/>
        </w:rPr>
      </w:pPr>
    </w:p>
    <w:p w14:paraId="3E06FA65" w14:textId="77777777" w:rsidR="002A1C07" w:rsidRPr="00527153" w:rsidRDefault="002A1C07" w:rsidP="002A1C07">
      <w:pPr>
        <w:spacing w:after="0" w:line="319" w:lineRule="auto"/>
        <w:rPr>
          <w:rFonts w:cstheme="minorHAnsi"/>
          <w:b/>
          <w:bCs/>
        </w:rPr>
      </w:pPr>
      <w:r w:rsidRPr="00527153">
        <w:rPr>
          <w:rFonts w:cstheme="minorHAnsi"/>
          <w:b/>
          <w:bCs/>
        </w:rPr>
        <w:t>Pytanie nr 1.</w:t>
      </w:r>
    </w:p>
    <w:p w14:paraId="2CC0BB5A" w14:textId="77777777" w:rsidR="002A1C07" w:rsidRPr="00527153" w:rsidRDefault="002A1C07" w:rsidP="002A1C07">
      <w:pPr>
        <w:spacing w:after="0" w:line="319" w:lineRule="auto"/>
        <w:jc w:val="both"/>
        <w:rPr>
          <w:rFonts w:cstheme="minorHAnsi"/>
        </w:rPr>
      </w:pPr>
      <w:r w:rsidRPr="00527153">
        <w:rPr>
          <w:rFonts w:cstheme="minorHAnsi"/>
        </w:rPr>
        <w:t>Zwracam się z prośbą o rozważenie możliwości zmiany warunku dotyczącego zdolności technicznej lub zawodowej w ramach prowadzonego postępowania. Obecnie obowiązujący zapis brzmi:</w:t>
      </w:r>
      <w:r w:rsidRPr="00527153">
        <w:rPr>
          <w:rFonts w:cstheme="minorHAnsi"/>
        </w:rPr>
        <w:br/>
      </w:r>
      <w:r w:rsidRPr="00527153">
        <w:rPr>
          <w:rFonts w:cstheme="minorHAnsi"/>
        </w:rPr>
        <w:br/>
        <w:t xml:space="preserve">"Wykonawca spełni warunek, jeżeli wykaże, że w okresie ostatnich 5 lat przed upływem terminu składania ofert, a jeżeli okres prowadzenia działalności jest krótszy – w tym okresie, należycie wykonał co najmniej jedną robotę budowlaną (zrealizowaną w ramach jednej umowy) o wartości co najmniej 2.000.000,00 zł brutto, obejmującą co najmniej budowę lub przebudowę drogi/dróg o łącznej długości min. 600,00 </w:t>
      </w:r>
      <w:proofErr w:type="spellStart"/>
      <w:r w:rsidRPr="00527153">
        <w:rPr>
          <w:rFonts w:cstheme="minorHAnsi"/>
        </w:rPr>
        <w:t>mb</w:t>
      </w:r>
      <w:proofErr w:type="spellEnd"/>
      <w:r w:rsidRPr="00527153">
        <w:rPr>
          <w:rFonts w:cstheme="minorHAnsi"/>
        </w:rPr>
        <w:t xml:space="preserve"> o nawierzchni z kostki brukowej lub masy asfaltowej wraz z kanalizacją deszczową lub sanitarną o łącznej dł. min. 500,00 </w:t>
      </w:r>
      <w:proofErr w:type="spellStart"/>
      <w:r w:rsidRPr="00527153">
        <w:rPr>
          <w:rFonts w:cstheme="minorHAnsi"/>
        </w:rPr>
        <w:t>mb</w:t>
      </w:r>
      <w:proofErr w:type="spellEnd"/>
      <w:r w:rsidRPr="00527153">
        <w:rPr>
          <w:rFonts w:cstheme="minorHAnsi"/>
        </w:rPr>
        <w:t>."</w:t>
      </w:r>
    </w:p>
    <w:p w14:paraId="78E02A2F" w14:textId="77777777" w:rsidR="002A1C07" w:rsidRPr="00527153" w:rsidRDefault="002A1C07" w:rsidP="002A1C07">
      <w:pPr>
        <w:spacing w:after="0" w:line="319" w:lineRule="auto"/>
        <w:jc w:val="both"/>
        <w:rPr>
          <w:rFonts w:cstheme="minorHAnsi"/>
        </w:rPr>
      </w:pPr>
      <w:r w:rsidRPr="00527153">
        <w:rPr>
          <w:rFonts w:cstheme="minorHAnsi"/>
        </w:rPr>
        <w:br/>
        <w:t>Proponuję zmianę tego warunku na:</w:t>
      </w:r>
    </w:p>
    <w:p w14:paraId="4ABF39A5" w14:textId="77777777" w:rsidR="002A1C07" w:rsidRPr="00527153" w:rsidRDefault="002A1C07" w:rsidP="002A1C07">
      <w:pPr>
        <w:spacing w:after="0" w:line="319" w:lineRule="auto"/>
        <w:jc w:val="both"/>
        <w:rPr>
          <w:rFonts w:cstheme="minorHAnsi"/>
        </w:rPr>
      </w:pPr>
      <w:r w:rsidRPr="00527153">
        <w:rPr>
          <w:rFonts w:cstheme="minorHAnsi"/>
        </w:rPr>
        <w:br/>
        <w:t xml:space="preserve">"Wykonawca spełni warunek, jeżeli wykaże, że w okresie ostatnich 5 lat przed upływem terminu składania ofert, a jeżeli okres prowadzenia działalności jest krótszy – w tym okresie, należycie wykonał co najmniej jedną robotę budowlaną (zrealizowaną w ramach jednej umowy) o wartości co najmniej 2.000.000,00 zł brutto, obejmującą co najmniej budowę lub przebudowę drogi/dróg o łącznej długości min. 450,00 </w:t>
      </w:r>
      <w:proofErr w:type="spellStart"/>
      <w:r w:rsidRPr="00527153">
        <w:rPr>
          <w:rFonts w:cstheme="minorHAnsi"/>
        </w:rPr>
        <w:t>mb</w:t>
      </w:r>
      <w:proofErr w:type="spellEnd"/>
      <w:r w:rsidRPr="00527153">
        <w:rPr>
          <w:rFonts w:cstheme="minorHAnsi"/>
        </w:rPr>
        <w:t xml:space="preserve"> o nawierzchni z kostki brukowej lub masy asfaltowej wraz z kanalizacją deszczową lub sanitarną o łącznej dł. min. 500,00 </w:t>
      </w:r>
      <w:proofErr w:type="spellStart"/>
      <w:r w:rsidRPr="00527153">
        <w:rPr>
          <w:rFonts w:cstheme="minorHAnsi"/>
        </w:rPr>
        <w:t>mb</w:t>
      </w:r>
      <w:proofErr w:type="spellEnd"/>
      <w:r w:rsidRPr="00527153">
        <w:rPr>
          <w:rFonts w:cstheme="minorHAnsi"/>
        </w:rPr>
        <w:t>."</w:t>
      </w:r>
    </w:p>
    <w:p w14:paraId="2513506D" w14:textId="77777777" w:rsidR="002A1C07" w:rsidRPr="00527153" w:rsidRDefault="002A1C07" w:rsidP="002A1C07">
      <w:pPr>
        <w:spacing w:after="0" w:line="319" w:lineRule="auto"/>
        <w:jc w:val="both"/>
        <w:rPr>
          <w:rFonts w:cstheme="minorHAnsi"/>
        </w:rPr>
      </w:pPr>
      <w:r w:rsidRPr="00527153">
        <w:rPr>
          <w:rFonts w:cstheme="minorHAnsi"/>
        </w:rPr>
        <w:br/>
        <w:t>Zmiana ta, przyczyni się do zwiększenia konkurencyjności przetargu poprzez umożliwienie większej liczbie wykonawców wzięcia udziału w postępowaniu. Uproszczony warunek nadal jednak zapewni odpowiedni poziom kwalifikacji wykonawców, jednocześnie rozszerzając potencjalną grupę oferentów.</w:t>
      </w:r>
    </w:p>
    <w:p w14:paraId="71012522" w14:textId="77777777" w:rsidR="002A1C07" w:rsidRPr="00527153" w:rsidRDefault="002A1C07" w:rsidP="002A1C07">
      <w:pPr>
        <w:spacing w:after="0" w:line="319" w:lineRule="auto"/>
        <w:rPr>
          <w:rFonts w:cstheme="minorHAnsi"/>
        </w:rPr>
      </w:pPr>
    </w:p>
    <w:p w14:paraId="53FA8AC0" w14:textId="77777777" w:rsidR="002A1C07" w:rsidRPr="00527153" w:rsidRDefault="002A1C07" w:rsidP="002A1C07">
      <w:pPr>
        <w:spacing w:after="0" w:line="319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527153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  <w:r w:rsidRPr="00527153">
        <w:rPr>
          <w:rFonts w:eastAsia="Times New Roman" w:cstheme="minorHAnsi"/>
          <w:kern w:val="0"/>
          <w:lang w:eastAsia="pl-PL"/>
          <w14:ligatures w14:val="none"/>
        </w:rPr>
        <w:t xml:space="preserve"> Zamawiający nie wyraża zgody na zmianę warunku udziału w postępowania, zgodnie 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           </w:t>
      </w:r>
      <w:r w:rsidRPr="00527153">
        <w:rPr>
          <w:rFonts w:eastAsia="Times New Roman" w:cstheme="minorHAnsi"/>
          <w:kern w:val="0"/>
          <w:lang w:eastAsia="pl-PL"/>
          <w14:ligatures w14:val="none"/>
        </w:rPr>
        <w:t xml:space="preserve">z propozycją Wykonawcy. </w:t>
      </w:r>
    </w:p>
    <w:p w14:paraId="4DA9DC43" w14:textId="77777777" w:rsidR="002A1C07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cstheme="minorHAnsi"/>
          <w:kern w:val="0"/>
          <w14:ligatures w14:val="none"/>
        </w:rPr>
      </w:pPr>
    </w:p>
    <w:p w14:paraId="0873E17E" w14:textId="77777777" w:rsidR="002A1C07" w:rsidRPr="006C0C8D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cstheme="minorHAnsi"/>
        </w:rPr>
      </w:pPr>
      <w:r w:rsidRPr="006C0C8D">
        <w:rPr>
          <w:rFonts w:cstheme="minorHAnsi"/>
        </w:rPr>
        <w:lastRenderedPageBreak/>
        <w:t xml:space="preserve">Zgodnie z treścią art. 112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, </w:t>
      </w:r>
      <w:r w:rsidRPr="006C0C8D">
        <w:rPr>
          <w:rFonts w:cstheme="minorHAnsi"/>
        </w:rPr>
        <w:t xml:space="preserve"> Zamawiający określa warunki udziału w postępowaniu w sposób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proporcjonalny do przedmiotu zamówienia oraz umożliwiający ocenę zdolności wykonawcy do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należytego wykonania zamówienia, w szczególności wyrażając je jako minimalne poziomy zdolności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 xml:space="preserve">oraz art. 116 ust. 1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,</w:t>
      </w:r>
      <w:r w:rsidRPr="006C0C8D">
        <w:rPr>
          <w:rFonts w:cstheme="minorHAnsi"/>
        </w:rPr>
        <w:t xml:space="preserve"> </w:t>
      </w:r>
      <w:r>
        <w:rPr>
          <w:rFonts w:cstheme="minorHAnsi"/>
        </w:rPr>
        <w:t>w</w:t>
      </w:r>
      <w:r w:rsidRPr="006C0C8D">
        <w:rPr>
          <w:rFonts w:cstheme="minorHAnsi"/>
        </w:rPr>
        <w:t xml:space="preserve"> odniesieniu do zdolności technicznej lub zawodowej zamawiający może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określić warunki dotyczące niezbędnego wykształcenia, kwalifikacji zawodowych, doświadczenia,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potencjału technicznego wykonawcy lub osób skierowanych przez wykonawcę do realizacji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zamówienia, umożliwiające realizację zamówienia na odpowiednim poziomie jakości.</w:t>
      </w:r>
    </w:p>
    <w:p w14:paraId="609E4882" w14:textId="77777777" w:rsidR="002A1C07" w:rsidRPr="006C0C8D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cstheme="minorHAnsi"/>
        </w:rPr>
      </w:pPr>
    </w:p>
    <w:p w14:paraId="335083BC" w14:textId="77777777" w:rsidR="002A1C07" w:rsidRPr="006C0C8D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cstheme="minorHAnsi"/>
        </w:rPr>
      </w:pPr>
      <w:r w:rsidRPr="006C0C8D">
        <w:rPr>
          <w:rFonts w:cstheme="minorHAnsi"/>
        </w:rPr>
        <w:t>W odróżnieniu od podstaw wykluczenia, które są określone ustawowo, warunki udziału w postępowaniu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 xml:space="preserve">są każdorazowo indywidualizowane przez samego </w:t>
      </w:r>
      <w:r>
        <w:rPr>
          <w:rFonts w:cstheme="minorHAnsi"/>
        </w:rPr>
        <w:t>Z</w:t>
      </w:r>
      <w:r w:rsidRPr="006C0C8D">
        <w:rPr>
          <w:rFonts w:cstheme="minorHAnsi"/>
        </w:rPr>
        <w:t>amawiającego, z uwzględnieniem granic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 xml:space="preserve">określonych w </w:t>
      </w:r>
      <w:proofErr w:type="spellStart"/>
      <w:r w:rsidRPr="006C0C8D">
        <w:rPr>
          <w:rFonts w:cstheme="minorHAnsi"/>
        </w:rPr>
        <w:t>P</w:t>
      </w:r>
      <w:r>
        <w:rPr>
          <w:rFonts w:cstheme="minorHAnsi"/>
        </w:rPr>
        <w:t>zp</w:t>
      </w:r>
      <w:proofErr w:type="spellEnd"/>
      <w:r w:rsidRPr="006C0C8D">
        <w:rPr>
          <w:rFonts w:cstheme="minorHAnsi"/>
        </w:rPr>
        <w:t>. Swoboda określenia warunków zamówienia obejmuje nie tylko swobodę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kształtowania treści warunków, ale również swobodę decydowania, czy warunki zostaną określone.</w:t>
      </w:r>
    </w:p>
    <w:p w14:paraId="32DA9B57" w14:textId="77777777" w:rsidR="002A1C07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cstheme="minorHAnsi"/>
        </w:rPr>
      </w:pPr>
    </w:p>
    <w:p w14:paraId="07861C7F" w14:textId="77777777" w:rsidR="002A1C07" w:rsidRPr="006C0C8D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cstheme="minorHAnsi"/>
        </w:rPr>
      </w:pPr>
      <w:r w:rsidRPr="006C0C8D">
        <w:rPr>
          <w:rFonts w:cstheme="minorHAnsi"/>
        </w:rPr>
        <w:t xml:space="preserve">Zgodnie bowiem z art. 57 pkt 2 </w:t>
      </w:r>
      <w:proofErr w:type="spellStart"/>
      <w:r w:rsidRPr="006C0C8D">
        <w:rPr>
          <w:rFonts w:cstheme="minorHAnsi"/>
        </w:rPr>
        <w:t>P</w:t>
      </w:r>
      <w:r>
        <w:rPr>
          <w:rFonts w:cstheme="minorHAnsi"/>
        </w:rPr>
        <w:t>zp</w:t>
      </w:r>
      <w:proofErr w:type="spellEnd"/>
      <w:r w:rsidRPr="006C0C8D">
        <w:rPr>
          <w:rFonts w:cstheme="minorHAnsi"/>
        </w:rPr>
        <w:t xml:space="preserve"> o zamówienie mogą ubiegać się wykonawcy, którzy spełniają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 xml:space="preserve">warunki udziału w postępowaniu, o ile zostały one określone przez </w:t>
      </w:r>
      <w:r>
        <w:rPr>
          <w:rFonts w:cstheme="minorHAnsi"/>
        </w:rPr>
        <w:t>Z</w:t>
      </w:r>
      <w:r w:rsidRPr="006C0C8D">
        <w:rPr>
          <w:rFonts w:cstheme="minorHAnsi"/>
        </w:rPr>
        <w:t>amawiającego. Zamawiający zatem</w:t>
      </w:r>
    </w:p>
    <w:p w14:paraId="3EFFD6FB" w14:textId="77777777" w:rsidR="002A1C07" w:rsidRPr="006C0C8D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cstheme="minorHAnsi"/>
        </w:rPr>
      </w:pPr>
      <w:r w:rsidRPr="006C0C8D">
        <w:rPr>
          <w:rFonts w:cstheme="minorHAnsi"/>
        </w:rPr>
        <w:t>może, ale nie musi określać warunki udziału w postępowaniu.</w:t>
      </w:r>
    </w:p>
    <w:p w14:paraId="77E7206A" w14:textId="77777777" w:rsidR="002A1C07" w:rsidRPr="006C0C8D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cstheme="minorHAnsi"/>
        </w:rPr>
      </w:pPr>
      <w:r w:rsidRPr="006C0C8D">
        <w:rPr>
          <w:rFonts w:cstheme="minorHAnsi"/>
        </w:rPr>
        <w:t xml:space="preserve">Art. 112 </w:t>
      </w:r>
      <w:proofErr w:type="spellStart"/>
      <w:r w:rsidRPr="006C0C8D">
        <w:rPr>
          <w:rFonts w:cstheme="minorHAnsi"/>
        </w:rPr>
        <w:t>P</w:t>
      </w:r>
      <w:r>
        <w:rPr>
          <w:rFonts w:cstheme="minorHAnsi"/>
        </w:rPr>
        <w:t>zp</w:t>
      </w:r>
      <w:proofErr w:type="spellEnd"/>
      <w:r w:rsidRPr="006C0C8D">
        <w:rPr>
          <w:rFonts w:cstheme="minorHAnsi"/>
        </w:rPr>
        <w:t xml:space="preserve"> wymienia czynniki wyznaczające granice swobody określania warunków udziału w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postępowaniu, którymi są:</w:t>
      </w:r>
    </w:p>
    <w:p w14:paraId="78D37C6A" w14:textId="77777777" w:rsidR="002A1C07" w:rsidRPr="006C0C8D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cstheme="minorHAnsi"/>
        </w:rPr>
      </w:pPr>
      <w:r w:rsidRPr="006C0C8D">
        <w:rPr>
          <w:rFonts w:cstheme="minorHAnsi"/>
        </w:rPr>
        <w:t>1) proporcjonalność do przedmiotu zamówienia oraz</w:t>
      </w:r>
    </w:p>
    <w:p w14:paraId="6458DCBA" w14:textId="77777777" w:rsidR="002A1C07" w:rsidRPr="006C0C8D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cstheme="minorHAnsi"/>
        </w:rPr>
      </w:pPr>
      <w:r w:rsidRPr="006C0C8D">
        <w:rPr>
          <w:rFonts w:cstheme="minorHAnsi"/>
        </w:rPr>
        <w:t>2) niezbędność do należytego wykonania udzielanego zamówienia, a także</w:t>
      </w:r>
    </w:p>
    <w:p w14:paraId="4018ACE7" w14:textId="77777777" w:rsidR="002A1C07" w:rsidRPr="006C0C8D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cstheme="minorHAnsi"/>
        </w:rPr>
      </w:pPr>
      <w:r w:rsidRPr="006C0C8D">
        <w:rPr>
          <w:rFonts w:cstheme="minorHAnsi"/>
        </w:rPr>
        <w:t>3) referowanie do zdolności do występowania w obrocie gospodarczym, uprawnień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do prowadzenia określonej działalności gospodarczej, sytuacji ekonomicznej lub finansowej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oraz zdolności technicznej lub zawodowej.</w:t>
      </w:r>
    </w:p>
    <w:p w14:paraId="0DADF1E3" w14:textId="77777777" w:rsidR="002A1C07" w:rsidRPr="006C0C8D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cstheme="minorHAnsi"/>
        </w:rPr>
      </w:pPr>
      <w:r w:rsidRPr="006C0C8D">
        <w:rPr>
          <w:rFonts w:cstheme="minorHAnsi"/>
        </w:rPr>
        <w:t>W orzecznictwie KIO wskazuje się, iż warunki udziału w postępowaniu powinny być określone na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minimalnym poziomie, tj. nie powinny ograniczać dostępu do zamówienia wykonawcom dającym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rękojmię jego należytego wykonania, a tym samym nie mogą być określane ponad poziom niezbędny</w:t>
      </w:r>
    </w:p>
    <w:p w14:paraId="65254E61" w14:textId="77777777" w:rsidR="002A1C07" w:rsidRPr="006C0C8D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cstheme="minorHAnsi"/>
        </w:rPr>
      </w:pPr>
      <w:r w:rsidRPr="006C0C8D">
        <w:rPr>
          <w:rFonts w:cstheme="minorHAnsi"/>
        </w:rPr>
        <w:t>do osiągnięcia celu, jakim jest wyłonienie wykonawcy, który będzie zdolny prawidłowo zrealizować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zamówienie.</w:t>
      </w:r>
    </w:p>
    <w:p w14:paraId="633CD2ED" w14:textId="77777777" w:rsidR="002A1C07" w:rsidRPr="006C0C8D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cstheme="minorHAnsi"/>
        </w:rPr>
      </w:pPr>
      <w:r w:rsidRPr="006C0C8D">
        <w:rPr>
          <w:rFonts w:cstheme="minorHAnsi"/>
        </w:rPr>
        <w:t>KIO wielokrotnie, podkreślała, że sposób określenia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warunków udziału w postępowaniu ma na celu doprowadzenie do wyboru wykonawcy, który obiektywnie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jest zdolny do należytego wykonania zamówienia, zgodnie z wymaganiami określonymi przez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zamawiającego. Izba zwróciła uwagę, że warunki udziału określone w danym postępowaniu kształtują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pewien wzorzec wykonawcy, któremu zamawiający może powierzyć realizację zamówienia. Wzorzec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ten określają cechy dobrane w sposób obiektywny – powiązany z przedmiotem zamówienia i do niego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proporcjonalny, zapewniający dostęp do zamówienia tylko tym wykonawcom, którzy gwarantują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zamawiającemu, że przedmiot zamówienia zostanie zrealizowany zgodnie z celem danego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postępowania. Rozszerzenie konkurencji nie jest celem w sposób bezwzględny najwyższym w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postępowaniu o udzielenie zamówienia publicznego. Granicę dla rozszerzania konkurencyjności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danego postępowania wyznaczają realne i obiektywne czynniki, mierzące zdolności wykonawcy w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 xml:space="preserve">kontekście specyfiki i wymagań dotyczących przedmiotu zamówienia. </w:t>
      </w:r>
      <w:r w:rsidRPr="006C0C8D">
        <w:rPr>
          <w:rFonts w:cstheme="minorHAnsi"/>
        </w:rPr>
        <w:lastRenderedPageBreak/>
        <w:t>Zamawiający nie ma obowiązku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dostosowywania wymagań określających warunki udziału w postępowaniu do warunków dostępnych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konkretnemu wykonawcy. Prawem zamawiającego jest takie opisanie warunków udziału w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postępowaniu, które zaspokoi potrzeby i oczekiwania zamawiającego w ramach realizacji przedmiotu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zamówienia w najszerszym kontekście, zaś o złamaniu zasady konkurencji i równego dostępu do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zamówienia nie może przesądzać fakt, że na rynku istnieją podmioty, które w świetle danego opisu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przedmiotu zamówienia czy przy przyjętych znaczeniach warunków udziału w postępowaniu mają</w:t>
      </w:r>
      <w:r>
        <w:rPr>
          <w:rFonts w:cstheme="minorHAnsi"/>
        </w:rPr>
        <w:t xml:space="preserve"> </w:t>
      </w:r>
      <w:r w:rsidRPr="006C0C8D">
        <w:rPr>
          <w:rFonts w:cstheme="minorHAnsi"/>
        </w:rPr>
        <w:t>mniejsze szanse na uzyskanie zamówienia (zob. wyr. KIO z 4.3.2021 r., KIO 356/21).</w:t>
      </w:r>
    </w:p>
    <w:p w14:paraId="2F74B952" w14:textId="77777777" w:rsidR="002A1C07" w:rsidRDefault="002A1C07" w:rsidP="002A1C07">
      <w:pPr>
        <w:spacing w:after="0" w:line="319" w:lineRule="auto"/>
        <w:jc w:val="both"/>
        <w:rPr>
          <w:rFonts w:cstheme="minorHAnsi"/>
        </w:rPr>
      </w:pPr>
    </w:p>
    <w:p w14:paraId="2BF655DB" w14:textId="77777777" w:rsidR="002A1C07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eastAsia="Times New Roman" w:cstheme="minorHAnsi"/>
          <w:bCs/>
          <w:kern w:val="3"/>
          <w:lang w:eastAsia="pl-PL"/>
          <w14:ligatures w14:val="none"/>
        </w:rPr>
      </w:pPr>
      <w:r>
        <w:rPr>
          <w:rFonts w:cstheme="minorHAnsi"/>
          <w:kern w:val="0"/>
          <w14:ligatures w14:val="none"/>
        </w:rPr>
        <w:t>Realizacja zamówienia</w:t>
      </w:r>
      <w:r w:rsidRPr="00527153">
        <w:rPr>
          <w:rFonts w:cstheme="minorHAnsi"/>
          <w:kern w:val="0"/>
          <w14:ligatures w14:val="none"/>
        </w:rPr>
        <w:t xml:space="preserve"> pn</w:t>
      </w:r>
      <w:r>
        <w:rPr>
          <w:rFonts w:cstheme="minorHAnsi"/>
          <w:kern w:val="0"/>
          <w14:ligatures w14:val="none"/>
        </w:rPr>
        <w:t>.</w:t>
      </w:r>
      <w:r w:rsidRPr="00FE6BEF">
        <w:rPr>
          <w:rFonts w:cstheme="minorHAnsi"/>
          <w:b/>
          <w:kern w:val="3"/>
          <w14:ligatures w14:val="none"/>
        </w:rPr>
        <w:t xml:space="preserve"> </w:t>
      </w:r>
      <w:r w:rsidRPr="00217378">
        <w:rPr>
          <w:rFonts w:cstheme="minorHAnsi"/>
          <w:bCs/>
          <w:kern w:val="3"/>
          <w14:ligatures w14:val="none"/>
        </w:rPr>
        <w:t>Skórzewo – budowa ulic Strumykowej, Jowisza, Tęczowej, Porankowej                        i Księżycowej</w:t>
      </w:r>
      <w:r w:rsidRPr="00527153">
        <w:rPr>
          <w:rFonts w:eastAsia="Times New Roman" w:cstheme="minorHAnsi"/>
          <w:bCs/>
          <w:iCs/>
          <w:kern w:val="0"/>
          <w:lang w:eastAsia="pl-PL"/>
          <w14:ligatures w14:val="none"/>
        </w:rPr>
        <w:t xml:space="preserve">, </w:t>
      </w:r>
      <w:r w:rsidRPr="00527153">
        <w:rPr>
          <w:rFonts w:cstheme="minorHAnsi"/>
          <w:bCs/>
          <w:kern w:val="0"/>
          <w14:ligatures w14:val="none"/>
        </w:rPr>
        <w:t>będzie</w:t>
      </w:r>
      <w:r w:rsidRPr="00527153">
        <w:rPr>
          <w:rFonts w:cstheme="minorHAnsi"/>
          <w:kern w:val="0"/>
          <w14:ligatures w14:val="none"/>
        </w:rPr>
        <w:t xml:space="preserve"> prowadzona w trudnych warunkach,</w:t>
      </w:r>
      <w:r>
        <w:rPr>
          <w:rFonts w:cstheme="minorHAnsi"/>
          <w:kern w:val="0"/>
          <w14:ligatures w14:val="none"/>
        </w:rPr>
        <w:t xml:space="preserve"> </w:t>
      </w:r>
      <w:r>
        <w:rPr>
          <w:rFonts w:eastAsia="Times New Roman" w:cstheme="minorHAnsi"/>
          <w:bCs/>
          <w:kern w:val="3"/>
          <w:lang w:eastAsia="pl-PL"/>
          <w14:ligatures w14:val="none"/>
        </w:rPr>
        <w:t xml:space="preserve">ponieważ drogi objęte zamówieniem </w:t>
      </w:r>
      <w:r w:rsidRPr="00217378">
        <w:rPr>
          <w:rFonts w:eastAsia="Times New Roman" w:cstheme="minorHAnsi"/>
          <w:bCs/>
          <w:kern w:val="3"/>
          <w:lang w:eastAsia="pl-PL"/>
          <w14:ligatures w14:val="none"/>
        </w:rPr>
        <w:t xml:space="preserve"> tj. </w:t>
      </w:r>
      <w:r w:rsidRPr="00217378">
        <w:rPr>
          <w:rFonts w:cstheme="minorHAnsi"/>
          <w:bCs/>
          <w:kern w:val="3"/>
          <w14:ligatures w14:val="none"/>
        </w:rPr>
        <w:t>ulic</w:t>
      </w:r>
      <w:r>
        <w:rPr>
          <w:rFonts w:cstheme="minorHAnsi"/>
          <w:bCs/>
          <w:kern w:val="3"/>
          <w14:ligatures w14:val="none"/>
        </w:rPr>
        <w:t>a</w:t>
      </w:r>
      <w:r w:rsidRPr="00217378">
        <w:rPr>
          <w:rFonts w:cstheme="minorHAnsi"/>
          <w:bCs/>
          <w:kern w:val="3"/>
          <w14:ligatures w14:val="none"/>
        </w:rPr>
        <w:t xml:space="preserve"> Strumykowa, Jowisza, Tęczowa, Porankowa i Księżycowa</w:t>
      </w:r>
      <w:r>
        <w:rPr>
          <w:rFonts w:cstheme="minorHAnsi"/>
          <w:bCs/>
          <w:kern w:val="3"/>
          <w14:ligatures w14:val="none"/>
        </w:rPr>
        <w:t>,</w:t>
      </w:r>
      <w:r w:rsidRPr="00217378">
        <w:rPr>
          <w:rFonts w:cstheme="minorHAnsi"/>
          <w:bCs/>
          <w:kern w:val="3"/>
          <w14:ligatures w14:val="none"/>
        </w:rPr>
        <w:t xml:space="preserve"> </w:t>
      </w:r>
      <w:r w:rsidRPr="00217378">
        <w:rPr>
          <w:rFonts w:eastAsia="Times New Roman" w:cstheme="minorHAnsi"/>
          <w:bCs/>
          <w:kern w:val="3"/>
          <w:lang w:eastAsia="pl-PL"/>
          <w14:ligatures w14:val="none"/>
        </w:rPr>
        <w:t>stanowią ulice dojazdowe do posesji na zorganizowanym osiedlu domów</w:t>
      </w:r>
      <w:r>
        <w:rPr>
          <w:rFonts w:eastAsia="Times New Roman" w:cstheme="minorHAnsi"/>
          <w:bCs/>
          <w:kern w:val="3"/>
          <w:lang w:eastAsia="pl-PL"/>
          <w14:ligatures w14:val="none"/>
        </w:rPr>
        <w:t xml:space="preserve">, do którego istnieje tylko jeden wjazd ulicą </w:t>
      </w:r>
      <w:r w:rsidRPr="00DF7F25">
        <w:rPr>
          <w:rFonts w:eastAsia="Times New Roman" w:cstheme="minorHAnsi"/>
          <w:bCs/>
          <w:kern w:val="3"/>
          <w:lang w:eastAsia="pl-PL"/>
          <w14:ligatures w14:val="none"/>
        </w:rPr>
        <w:t>Akacjową,</w:t>
      </w:r>
    </w:p>
    <w:p w14:paraId="24488EF2" w14:textId="77777777" w:rsidR="002A1C07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cstheme="minorHAnsi"/>
          <w:iCs/>
          <w:kern w:val="0"/>
          <w14:ligatures w14:val="none"/>
        </w:rPr>
      </w:pPr>
      <w:r>
        <w:rPr>
          <w:rFonts w:cstheme="minorHAnsi"/>
          <w:iCs/>
          <w:kern w:val="0"/>
          <w14:ligatures w14:val="none"/>
        </w:rPr>
        <w:t xml:space="preserve">wobec czego </w:t>
      </w:r>
      <w:r w:rsidRPr="00527153">
        <w:rPr>
          <w:rFonts w:cstheme="minorHAnsi"/>
          <w:iCs/>
          <w:kern w:val="0"/>
          <w14:ligatures w14:val="none"/>
        </w:rPr>
        <w:t>utrzymywanie tymczasowej organizacji ruchu na ulicy</w:t>
      </w:r>
      <w:r>
        <w:rPr>
          <w:rFonts w:cstheme="minorHAnsi"/>
          <w:iCs/>
          <w:kern w:val="0"/>
          <w14:ligatures w14:val="none"/>
        </w:rPr>
        <w:t xml:space="preserve"> Księżycowej (pomiędzy ulicą Akacjową a Porankową)</w:t>
      </w:r>
      <w:r w:rsidRPr="00527153">
        <w:rPr>
          <w:rFonts w:cstheme="minorHAnsi"/>
          <w:iCs/>
          <w:kern w:val="0"/>
          <w14:ligatures w14:val="none"/>
        </w:rPr>
        <w:t xml:space="preserve">, </w:t>
      </w:r>
      <w:r>
        <w:rPr>
          <w:rFonts w:cstheme="minorHAnsi"/>
          <w:iCs/>
          <w:kern w:val="0"/>
          <w14:ligatures w14:val="none"/>
        </w:rPr>
        <w:t xml:space="preserve">będzie wymagało sprawnej organizacji robót i dużego doświadczenia Wykonawcy, w realizacji zamówienia </w:t>
      </w:r>
      <w:r w:rsidRPr="00527153">
        <w:rPr>
          <w:rFonts w:eastAsiaTheme="majorEastAsia" w:cstheme="minorHAnsi"/>
          <w:color w:val="000000" w:themeColor="text1"/>
          <w:kern w:val="24"/>
          <w14:ligatures w14:val="none"/>
        </w:rPr>
        <w:t>określonej wielkości</w:t>
      </w:r>
      <w:r>
        <w:rPr>
          <w:rFonts w:eastAsiaTheme="majorEastAsia" w:cstheme="minorHAnsi"/>
          <w:color w:val="000000" w:themeColor="text1"/>
          <w:kern w:val="24"/>
          <w14:ligatures w14:val="none"/>
        </w:rPr>
        <w:t>, przy jednoczesnym ograniczeniu uciążliwości związanej z budową, mieszkańcom osiedla.</w:t>
      </w:r>
    </w:p>
    <w:p w14:paraId="0EA0B255" w14:textId="77777777" w:rsidR="002A1C07" w:rsidRDefault="002A1C07" w:rsidP="002A1C07">
      <w:pPr>
        <w:tabs>
          <w:tab w:val="left" w:pos="0"/>
        </w:tabs>
        <w:spacing w:after="0" w:line="319" w:lineRule="auto"/>
        <w:contextualSpacing/>
        <w:jc w:val="both"/>
      </w:pPr>
    </w:p>
    <w:p w14:paraId="45E6273E" w14:textId="77777777" w:rsidR="002A1C07" w:rsidRPr="00D45174" w:rsidRDefault="002A1C07" w:rsidP="002A1C07">
      <w:pPr>
        <w:tabs>
          <w:tab w:val="left" w:pos="426"/>
        </w:tabs>
        <w:spacing w:after="0" w:line="319" w:lineRule="auto"/>
        <w:contextualSpacing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>
        <w:rPr>
          <w:rFonts w:cstheme="minorHAnsi"/>
        </w:rPr>
        <w:t xml:space="preserve">Zdaniem Zamawiającego wobec tego, </w:t>
      </w:r>
      <w:r w:rsidRPr="00D45174">
        <w:rPr>
          <w:rFonts w:cstheme="minorHAnsi"/>
        </w:rPr>
        <w:t xml:space="preserve">że </w:t>
      </w:r>
      <w:r w:rsidRPr="00D45174">
        <w:rPr>
          <w:rFonts w:ascii="Calibri" w:eastAsia="Calibri" w:hAnsi="Calibri" w:cs="Times New Roman"/>
          <w:kern w:val="0"/>
          <w14:ligatures w14:val="none"/>
        </w:rPr>
        <w:t xml:space="preserve">łączna długość dróg objętych zamówieniem </w:t>
      </w:r>
      <w:r w:rsidRPr="00DF7F25">
        <w:rPr>
          <w:rFonts w:ascii="Calibri" w:eastAsia="Calibri" w:hAnsi="Calibri" w:cs="Times New Roman"/>
          <w:kern w:val="0"/>
          <w14:ligatures w14:val="none"/>
        </w:rPr>
        <w:t>wynosi ok. 1.</w:t>
      </w:r>
      <w:r w:rsidRPr="00D45174">
        <w:rPr>
          <w:rFonts w:ascii="Calibri" w:eastAsia="Calibri" w:hAnsi="Calibri" w:cs="Times New Roman"/>
          <w:kern w:val="0"/>
          <w14:ligatures w14:val="none"/>
        </w:rPr>
        <w:t xml:space="preserve">253 </w:t>
      </w:r>
      <w:proofErr w:type="spellStart"/>
      <w:r w:rsidRPr="00D45174">
        <w:rPr>
          <w:rFonts w:ascii="Calibri" w:eastAsia="Calibri" w:hAnsi="Calibri" w:cs="Times New Roman"/>
          <w:kern w:val="0"/>
          <w14:ligatures w14:val="none"/>
        </w:rPr>
        <w:t>mb</w:t>
      </w:r>
      <w:proofErr w:type="spellEnd"/>
      <w:r w:rsidRPr="00D45174">
        <w:rPr>
          <w:rFonts w:ascii="Calibri" w:eastAsia="Calibri" w:hAnsi="Calibri" w:cs="Times New Roman"/>
          <w:kern w:val="0"/>
          <w14:ligatures w14:val="none"/>
        </w:rPr>
        <w:t xml:space="preserve">, natomiast referencyjna minimalna długość dróg określona w warunku wiedzy i doświadczenia to 600,00 </w:t>
      </w:r>
      <w:proofErr w:type="spellStart"/>
      <w:r w:rsidRPr="00D45174">
        <w:rPr>
          <w:rFonts w:ascii="Calibri" w:eastAsia="Calibri" w:hAnsi="Calibri" w:cs="Times New Roman"/>
          <w:kern w:val="0"/>
          <w14:ligatures w14:val="none"/>
        </w:rPr>
        <w:t>mb</w:t>
      </w:r>
      <w:proofErr w:type="spellEnd"/>
      <w:r w:rsidRPr="00D45174">
        <w:rPr>
          <w:rFonts w:ascii="Calibri" w:eastAsia="Calibri" w:hAnsi="Calibri" w:cs="Times New Roman"/>
          <w:kern w:val="0"/>
          <w14:ligatures w14:val="none"/>
        </w:rPr>
        <w:t>, co stanowi zaledwie 50 % rzeczywistej długości dróg</w:t>
      </w:r>
      <w:r>
        <w:rPr>
          <w:rFonts w:ascii="Calibri" w:eastAsia="Calibri" w:hAnsi="Calibri" w:cs="Times New Roman"/>
          <w:kern w:val="0"/>
          <w14:ligatures w14:val="none"/>
        </w:rPr>
        <w:t xml:space="preserve"> objętych zamówieniem</w:t>
      </w:r>
      <w:r w:rsidRPr="00D45174">
        <w:rPr>
          <w:rFonts w:ascii="Calibri" w:eastAsia="Calibri" w:hAnsi="Calibri" w:cs="Times New Roman"/>
          <w:kern w:val="0"/>
          <w14:ligatures w14:val="none"/>
        </w:rPr>
        <w:t>,</w:t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</w:t>
      </w:r>
      <w:r>
        <w:rPr>
          <w:rFonts w:cstheme="minorHAnsi"/>
        </w:rPr>
        <w:t>w</w:t>
      </w:r>
      <w:r w:rsidRPr="006C0C8D">
        <w:rPr>
          <w:rFonts w:cstheme="minorHAnsi"/>
        </w:rPr>
        <w:t>arunek postawiony w SWZ - jest proporcjonalny i związany z przedmiotem zamówienia oraz</w:t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Pr="006C0C8D">
        <w:rPr>
          <w:rFonts w:cstheme="minorHAnsi"/>
        </w:rPr>
        <w:t>gwarantuje minimalny poziom zdolności wykonawcy do realizacji przedmiotu zamówienia.</w:t>
      </w:r>
    </w:p>
    <w:p w14:paraId="297C507D" w14:textId="77777777" w:rsidR="002A1C07" w:rsidRPr="006C0C8D" w:rsidRDefault="002A1C07" w:rsidP="002A1C07">
      <w:pPr>
        <w:tabs>
          <w:tab w:val="left" w:pos="0"/>
        </w:tabs>
        <w:spacing w:after="0" w:line="319" w:lineRule="auto"/>
        <w:contextualSpacing/>
        <w:jc w:val="both"/>
        <w:rPr>
          <w:rFonts w:cstheme="minorHAnsi"/>
        </w:rPr>
      </w:pPr>
    </w:p>
    <w:p w14:paraId="21289285" w14:textId="77777777" w:rsidR="002A1C07" w:rsidRDefault="002A1C07" w:rsidP="002A1C07">
      <w:pPr>
        <w:tabs>
          <w:tab w:val="left" w:pos="0"/>
        </w:tabs>
        <w:spacing w:after="0" w:line="319" w:lineRule="auto"/>
        <w:contextualSpacing/>
        <w:jc w:val="both"/>
      </w:pPr>
    </w:p>
    <w:p w14:paraId="7F93DC8C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07"/>
    <w:rsid w:val="00080FD2"/>
    <w:rsid w:val="002A1C07"/>
    <w:rsid w:val="005169AF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2462"/>
  <w15:chartTrackingRefBased/>
  <w15:docId w15:val="{3924DECC-897D-4FFD-9CD6-7DC0689B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1010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2024-06-14T06:18:00Z</dcterms:created>
  <dcterms:modified xsi:type="dcterms:W3CDTF">2024-06-14T06:25:00Z</dcterms:modified>
</cp:coreProperties>
</file>