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37D62DB5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 xml:space="preserve">Nowy Tomyśl, </w:t>
      </w:r>
      <w:r w:rsidR="008B40E8">
        <w:rPr>
          <w:color w:val="000000" w:themeColor="text1"/>
        </w:rPr>
        <w:t xml:space="preserve">dnia </w:t>
      </w:r>
      <w:r w:rsidR="003337B0">
        <w:rPr>
          <w:color w:val="000000" w:themeColor="text1"/>
        </w:rPr>
        <w:t>0</w:t>
      </w:r>
      <w:r w:rsidR="00373C33">
        <w:rPr>
          <w:color w:val="000000" w:themeColor="text1"/>
        </w:rPr>
        <w:t>7</w:t>
      </w:r>
      <w:r w:rsidR="003337B0">
        <w:rPr>
          <w:color w:val="000000" w:themeColor="text1"/>
        </w:rPr>
        <w:t xml:space="preserve"> kwietnia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5E7CFA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61B727A1" w14:textId="32122AEC" w:rsidR="00465185" w:rsidRPr="00FB1D29" w:rsidRDefault="00465185" w:rsidP="00FB1D29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="008B40E8">
        <w:rPr>
          <w:b/>
          <w:bCs/>
          <w:color w:val="000000" w:themeColor="text1"/>
        </w:rPr>
        <w:t>3</w:t>
      </w:r>
      <w:r w:rsidRPr="00BC7CA5">
        <w:rPr>
          <w:b/>
          <w:bCs/>
          <w:color w:val="000000" w:themeColor="text1"/>
        </w:rPr>
        <w:t>.2023</w:t>
      </w:r>
    </w:p>
    <w:p w14:paraId="4A783D0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5E7CFA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1C15997" w14:textId="77777777" w:rsidR="00AA3E25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0BCE2E6E" w14:textId="77777777" w:rsidR="005955D9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5573AD0D" w14:textId="77777777" w:rsidR="00465185" w:rsidRPr="00BC7CA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3097C996" w:rsidR="0046518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p w14:paraId="4A1D5390" w14:textId="77777777" w:rsidR="008B40E8" w:rsidRPr="00BC7CA5" w:rsidRDefault="008B40E8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071BB" w14:textId="77777777" w:rsidR="008B40E8" w:rsidRPr="00800113" w:rsidRDefault="008B40E8" w:rsidP="005E7CFA">
      <w:pPr>
        <w:autoSpaceDE w:val="0"/>
        <w:jc w:val="center"/>
        <w:rPr>
          <w:b/>
          <w:bCs/>
          <w:color w:val="000000"/>
        </w:rPr>
      </w:pPr>
      <w:bookmarkStart w:id="2" w:name="_Hlk114829524"/>
      <w:bookmarkEnd w:id="1"/>
      <w:r w:rsidRPr="00800113">
        <w:rPr>
          <w:b/>
          <w:bCs/>
          <w:color w:val="000000"/>
        </w:rPr>
        <w:t>„</w:t>
      </w:r>
      <w:r w:rsidRPr="00800113">
        <w:rPr>
          <w:b/>
          <w:bCs/>
          <w:color w:val="000000"/>
          <w:shd w:val="clear" w:color="auto" w:fill="FFFFFF"/>
        </w:rPr>
        <w:t>Termomodernizacja Żłobka „Złoty Promyk" w Nowym Tomyślu</w:t>
      </w:r>
      <w:r w:rsidRPr="00800113">
        <w:rPr>
          <w:b/>
          <w:bCs/>
          <w:color w:val="000000"/>
        </w:rPr>
        <w:t>”</w:t>
      </w:r>
      <w:bookmarkEnd w:id="2"/>
    </w:p>
    <w:p w14:paraId="33257473" w14:textId="77777777" w:rsidR="00465185" w:rsidRPr="00BC7CA5" w:rsidRDefault="00465185" w:rsidP="005E7CFA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1317FB6" w:rsidR="00465185" w:rsidRPr="005955D9" w:rsidRDefault="00465185" w:rsidP="005E7CFA">
      <w:pPr>
        <w:pStyle w:val="Akapitzlist"/>
        <w:numPr>
          <w:ilvl w:val="0"/>
          <w:numId w:val="9"/>
        </w:numPr>
        <w:spacing w:line="276" w:lineRule="auto"/>
        <w:jc w:val="center"/>
        <w:rPr>
          <w:b/>
          <w:bCs/>
          <w:color w:val="000000" w:themeColor="text1"/>
        </w:rPr>
      </w:pPr>
    </w:p>
    <w:p w14:paraId="48028B26" w14:textId="73322EF4" w:rsidR="00465185" w:rsidRPr="00BC7CA5" w:rsidRDefault="00465185" w:rsidP="005E7CFA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 xml:space="preserve">Zamawiający informuje, że </w:t>
      </w:r>
      <w:r w:rsidR="00FB1D29">
        <w:rPr>
          <w:rFonts w:eastAsia="Calibri"/>
          <w:color w:val="000000" w:themeColor="text1"/>
        </w:rPr>
        <w:t xml:space="preserve">Wykonawca </w:t>
      </w:r>
      <w:r w:rsidRPr="00BC7CA5">
        <w:rPr>
          <w:rFonts w:eastAsia="Calibri"/>
          <w:color w:val="000000" w:themeColor="text1"/>
        </w:rPr>
        <w:t xml:space="preserve">zgodnie z  art. 284  ust. </w:t>
      </w:r>
      <w:r w:rsidR="00FB1D29">
        <w:rPr>
          <w:rFonts w:eastAsia="Calibri"/>
          <w:color w:val="000000" w:themeColor="text1"/>
        </w:rPr>
        <w:t>1</w:t>
      </w:r>
      <w:r w:rsidRPr="00BC7CA5">
        <w:rPr>
          <w:rFonts w:eastAsia="Calibri"/>
          <w:color w:val="000000" w:themeColor="text1"/>
        </w:rPr>
        <w:t xml:space="preserve"> ustawy z dnia 11 września 2019 r. - Prawo zamówień publicznych (t.j. Dz. U. z 2022 r. poz. 1710 z późn. zm.) zwróci</w:t>
      </w:r>
      <w:r w:rsidR="00354E1E">
        <w:rPr>
          <w:rFonts w:eastAsia="Calibri"/>
          <w:color w:val="000000" w:themeColor="text1"/>
        </w:rPr>
        <w:t>ł</w:t>
      </w:r>
      <w:r w:rsidRPr="00BC7CA5">
        <w:rPr>
          <w:rFonts w:eastAsia="Calibri"/>
          <w:color w:val="000000" w:themeColor="text1"/>
        </w:rPr>
        <w:t xml:space="preserve"> się do Zamawiającego z wnioskiem o wyjaśnienie treści SWZ.</w:t>
      </w:r>
      <w:r w:rsidR="00FB1D29">
        <w:rPr>
          <w:rFonts w:eastAsia="Calibri"/>
          <w:color w:val="000000" w:themeColor="text1"/>
        </w:rPr>
        <w:t xml:space="preserve"> </w:t>
      </w:r>
      <w:r w:rsidRPr="00BC7CA5">
        <w:rPr>
          <w:rFonts w:eastAsia="Calibri"/>
          <w:color w:val="000000" w:themeColor="text1"/>
        </w:rPr>
        <w:t>W związku z powyższym</w:t>
      </w:r>
      <w:r w:rsidR="008B40E8">
        <w:rPr>
          <w:rFonts w:eastAsia="Calibri"/>
          <w:color w:val="000000" w:themeColor="text1"/>
        </w:rPr>
        <w:t>, Z</w:t>
      </w:r>
      <w:r w:rsidRPr="00BC7CA5">
        <w:rPr>
          <w:rFonts w:eastAsia="Calibri"/>
          <w:color w:val="000000" w:themeColor="text1"/>
        </w:rPr>
        <w:t>amawiający udziela następujących wyjaśnień</w:t>
      </w:r>
      <w:r w:rsidRPr="00BC7CA5">
        <w:rPr>
          <w:color w:val="000000" w:themeColor="text1"/>
        </w:rPr>
        <w:t>:</w:t>
      </w:r>
    </w:p>
    <w:p w14:paraId="24A0FA6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31F226B4" w14:textId="2982C9FD" w:rsidR="00433951" w:rsidRPr="00433951" w:rsidRDefault="00433951" w:rsidP="00433951">
      <w:pPr>
        <w:pStyle w:val="Akapitzlist"/>
        <w:numPr>
          <w:ilvl w:val="0"/>
          <w:numId w:val="12"/>
        </w:numPr>
        <w:jc w:val="both"/>
      </w:pPr>
      <w:r w:rsidRPr="00433951">
        <w:rPr>
          <w:b/>
          <w:bCs/>
          <w:u w:val="single"/>
        </w:rPr>
        <w:t>Pytanie:</w:t>
      </w:r>
      <w:r>
        <w:t xml:space="preserve"> „</w:t>
      </w:r>
      <w:r w:rsidR="00373C33" w:rsidRPr="00373C33">
        <w:rPr>
          <w:i/>
          <w:iCs/>
          <w:color w:val="000000"/>
        </w:rPr>
        <w:t xml:space="preserve">Czy zakres robót zawiera demontaż, dostosowanie i ponowny montaż kanałów wentylacyjnych oraz demontaż i montaż jednostek klimatyzacji obsługujących nową cześć obiektu? Czy ww. instalacje i urządzenia podlegają gwarancji Wykonawcy? Jeżeli tak, to czy Zamawiający dopuszcza ingerencję w ww. urządzenia w związku </w:t>
      </w:r>
      <w:r w:rsidR="00373C33">
        <w:rPr>
          <w:i/>
          <w:iCs/>
          <w:color w:val="000000"/>
        </w:rPr>
        <w:br/>
      </w:r>
      <w:r w:rsidR="00373C33" w:rsidRPr="00373C33">
        <w:rPr>
          <w:i/>
          <w:iCs/>
          <w:color w:val="000000"/>
        </w:rPr>
        <w:t>z obowiązującym okresem gwarancyjnym lub uzgodni z gwarantem wykonanie ww. robót?</w:t>
      </w:r>
      <w:r w:rsidRPr="00433951">
        <w:rPr>
          <w:i/>
          <w:iCs/>
          <w:color w:val="000000"/>
        </w:rPr>
        <w:t>”.</w:t>
      </w:r>
    </w:p>
    <w:p w14:paraId="31C38A3A" w14:textId="77777777" w:rsidR="00433951" w:rsidRDefault="00433951" w:rsidP="00433951"/>
    <w:p w14:paraId="359AADCF" w14:textId="6AC5EC13" w:rsidR="00433951" w:rsidRDefault="00433951" w:rsidP="00433951">
      <w:pPr>
        <w:ind w:left="708"/>
        <w:jc w:val="both"/>
        <w:rPr>
          <w:color w:val="000000"/>
        </w:rPr>
      </w:pPr>
      <w:r w:rsidRPr="00433951">
        <w:rPr>
          <w:b/>
          <w:bCs/>
          <w:color w:val="000000"/>
          <w:u w:val="single"/>
        </w:rPr>
        <w:t>Odpowiedź</w:t>
      </w:r>
      <w:r>
        <w:rPr>
          <w:b/>
          <w:bCs/>
          <w:color w:val="000000"/>
        </w:rPr>
        <w:t xml:space="preserve">: </w:t>
      </w:r>
      <w:r w:rsidR="00373C33">
        <w:rPr>
          <w:b/>
          <w:bCs/>
          <w:color w:val="000000"/>
        </w:rPr>
        <w:t>Zamawiający informuje, że z</w:t>
      </w:r>
      <w:r w:rsidR="00373C33" w:rsidRPr="00373C33">
        <w:rPr>
          <w:b/>
          <w:bCs/>
          <w:color w:val="000000"/>
        </w:rPr>
        <w:t>akres robót częściowo obejmuje demontaż, dostosowanie i ponowny montaż kanałów wentylacyjnych obsługujących nową część obiektu</w:t>
      </w:r>
      <w:r w:rsidR="00FB1D29">
        <w:rPr>
          <w:b/>
          <w:bCs/>
          <w:color w:val="000000"/>
        </w:rPr>
        <w:t>, stosownie do</w:t>
      </w:r>
      <w:r w:rsidR="00373C33" w:rsidRPr="00373C33">
        <w:rPr>
          <w:b/>
          <w:bCs/>
          <w:color w:val="000000"/>
        </w:rPr>
        <w:t xml:space="preserve"> </w:t>
      </w:r>
      <w:r w:rsidR="00FB1D29">
        <w:rPr>
          <w:b/>
          <w:bCs/>
          <w:color w:val="000000"/>
        </w:rPr>
        <w:t>zapisów</w:t>
      </w:r>
      <w:r w:rsidR="00373C33" w:rsidRPr="00373C33">
        <w:rPr>
          <w:b/>
          <w:bCs/>
          <w:color w:val="000000"/>
        </w:rPr>
        <w:t xml:space="preserve"> OPZ. Zamawiający wystąpi do gwaranta – wykonawcy budowy nowej części żłobka o wyłączenie obiektów z gwarancji w części niezbędnej do wykonania termomodernizacji na starym obiekcie. Dokładny zakres wyłączenia możliwy będzie dopiero po przystąpieniu do robót budowlanych. Zamawiający dopuszcza ingerencję w ww</w:t>
      </w:r>
      <w:r w:rsidR="00FB1D29">
        <w:rPr>
          <w:b/>
          <w:bCs/>
          <w:color w:val="000000"/>
        </w:rPr>
        <w:t>.</w:t>
      </w:r>
      <w:r w:rsidR="00373C33" w:rsidRPr="00373C33">
        <w:rPr>
          <w:b/>
          <w:bCs/>
          <w:color w:val="000000"/>
        </w:rPr>
        <w:t xml:space="preserve"> urządzenia w zakresie niezbędnym do wykonania termomodernizacji. </w:t>
      </w:r>
      <w:r w:rsidR="00FB1D29">
        <w:rPr>
          <w:b/>
          <w:bCs/>
          <w:color w:val="000000"/>
        </w:rPr>
        <w:t>Jednocześnie Zamawiający wskazuje, że o</w:t>
      </w:r>
      <w:r w:rsidR="00373C33" w:rsidRPr="00373C33">
        <w:rPr>
          <w:b/>
          <w:bCs/>
          <w:color w:val="000000"/>
        </w:rPr>
        <w:t>biekty znajdujące się na elewacji budynku i obsługujące starą część budynku nie podlegają gwarancji.</w:t>
      </w:r>
    </w:p>
    <w:p w14:paraId="0A0AB6C5" w14:textId="3764C785" w:rsidR="00433951" w:rsidRDefault="00433951" w:rsidP="00433951"/>
    <w:p w14:paraId="3047182D" w14:textId="77777777" w:rsidR="00510519" w:rsidRDefault="00510519" w:rsidP="00433951"/>
    <w:p w14:paraId="1544745B" w14:textId="27CC5CB2" w:rsidR="004C3A93" w:rsidRPr="00FB1D29" w:rsidRDefault="00FB1D29" w:rsidP="00FB1D29">
      <w:pPr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sectPr w:rsidR="004C3A93" w:rsidRPr="00FB1D2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E81F" w14:textId="77777777" w:rsidR="00077C16" w:rsidRDefault="00077C16" w:rsidP="00465185">
      <w:r>
        <w:separator/>
      </w:r>
    </w:p>
  </w:endnote>
  <w:endnote w:type="continuationSeparator" w:id="0">
    <w:p w14:paraId="59289753" w14:textId="77777777" w:rsidR="00077C16" w:rsidRDefault="00077C16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3B57" w14:textId="77777777" w:rsidR="00077C16" w:rsidRDefault="00077C16" w:rsidP="00465185">
      <w:r>
        <w:separator/>
      </w:r>
    </w:p>
  </w:footnote>
  <w:footnote w:type="continuationSeparator" w:id="0">
    <w:p w14:paraId="0E47BF93" w14:textId="77777777" w:rsidR="00077C16" w:rsidRDefault="00077C16" w:rsidP="0046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A7" w14:textId="54254298" w:rsidR="008B40E8" w:rsidRDefault="008B40E8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478A7CC" wp14:editId="355CF3AD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190F19F5"/>
    <w:multiLevelType w:val="hybridMultilevel"/>
    <w:tmpl w:val="9636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55F558DF"/>
    <w:multiLevelType w:val="hybridMultilevel"/>
    <w:tmpl w:val="4B1A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9AC66CF"/>
    <w:multiLevelType w:val="hybridMultilevel"/>
    <w:tmpl w:val="0A70A5D6"/>
    <w:lvl w:ilvl="0" w:tplc="CEC6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64682A82"/>
    <w:multiLevelType w:val="hybridMultilevel"/>
    <w:tmpl w:val="9EA6EF76"/>
    <w:lvl w:ilvl="0" w:tplc="5AB8A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3"/>
  </w:num>
  <w:num w:numId="2" w16cid:durableId="525795473">
    <w:abstractNumId w:val="4"/>
  </w:num>
  <w:num w:numId="3" w16cid:durableId="751775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10"/>
  </w:num>
  <w:num w:numId="5" w16cid:durableId="348221699">
    <w:abstractNumId w:val="5"/>
  </w:num>
  <w:num w:numId="6" w16cid:durableId="1292632067">
    <w:abstractNumId w:val="2"/>
  </w:num>
  <w:num w:numId="7" w16cid:durableId="639574219">
    <w:abstractNumId w:val="8"/>
  </w:num>
  <w:num w:numId="8" w16cid:durableId="1074354380">
    <w:abstractNumId w:val="1"/>
  </w:num>
  <w:num w:numId="9" w16cid:durableId="1101874005">
    <w:abstractNumId w:val="9"/>
  </w:num>
  <w:num w:numId="10" w16cid:durableId="1053699944">
    <w:abstractNumId w:val="12"/>
  </w:num>
  <w:num w:numId="11" w16cid:durableId="908030149">
    <w:abstractNumId w:val="0"/>
  </w:num>
  <w:num w:numId="12" w16cid:durableId="1113325727">
    <w:abstractNumId w:val="11"/>
  </w:num>
  <w:num w:numId="13" w16cid:durableId="1179659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77C16"/>
    <w:rsid w:val="000C45BE"/>
    <w:rsid w:val="000D29E0"/>
    <w:rsid w:val="00114199"/>
    <w:rsid w:val="002405B5"/>
    <w:rsid w:val="002836C8"/>
    <w:rsid w:val="00321C8C"/>
    <w:rsid w:val="003337B0"/>
    <w:rsid w:val="00354E1E"/>
    <w:rsid w:val="00373C33"/>
    <w:rsid w:val="00416C96"/>
    <w:rsid w:val="00424C00"/>
    <w:rsid w:val="00433951"/>
    <w:rsid w:val="00465185"/>
    <w:rsid w:val="00473C54"/>
    <w:rsid w:val="004C3A93"/>
    <w:rsid w:val="004D74B7"/>
    <w:rsid w:val="00510519"/>
    <w:rsid w:val="00512CA7"/>
    <w:rsid w:val="00550F5E"/>
    <w:rsid w:val="005955D9"/>
    <w:rsid w:val="005C68D5"/>
    <w:rsid w:val="005E7CFA"/>
    <w:rsid w:val="006840FC"/>
    <w:rsid w:val="006F5BA7"/>
    <w:rsid w:val="00723634"/>
    <w:rsid w:val="007D7469"/>
    <w:rsid w:val="007F7456"/>
    <w:rsid w:val="0085783C"/>
    <w:rsid w:val="008B40E8"/>
    <w:rsid w:val="00A724B2"/>
    <w:rsid w:val="00A75E6C"/>
    <w:rsid w:val="00AA3E25"/>
    <w:rsid w:val="00B3689E"/>
    <w:rsid w:val="00B52DE7"/>
    <w:rsid w:val="00BC7CA5"/>
    <w:rsid w:val="00C11751"/>
    <w:rsid w:val="00C72A06"/>
    <w:rsid w:val="00D7680A"/>
    <w:rsid w:val="00D82FDB"/>
    <w:rsid w:val="00E31048"/>
    <w:rsid w:val="00F86578"/>
    <w:rsid w:val="00FB1D29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FF4558"/>
    <w:rPr>
      <w:rFonts w:ascii="Times New Roman" w:hAnsi="Times New Roman"/>
      <w:color w:val="00000A"/>
      <w:sz w:val="24"/>
    </w:rPr>
  </w:style>
  <w:style w:type="paragraph" w:styleId="Bezodstpw">
    <w:name w:val="No Spacing"/>
    <w:uiPriority w:val="1"/>
    <w:qFormat/>
    <w:rsid w:val="008B40E8"/>
    <w:rPr>
      <w:rFonts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A0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A0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55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3</cp:revision>
  <dcterms:created xsi:type="dcterms:W3CDTF">2023-04-07T10:44:00Z</dcterms:created>
  <dcterms:modified xsi:type="dcterms:W3CDTF">2023-04-07T11:00:00Z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