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7"/>
        <w:gridCol w:w="1427"/>
        <w:gridCol w:w="1427"/>
      </w:tblGrid>
      <w:tr w:rsidR="00D42FBF" w:rsidRPr="007C6D9D" w14:paraId="372D6027" w14:textId="2B9A0FFA" w:rsidTr="00D42FBF">
        <w:trPr>
          <w:trHeight w:val="1185"/>
        </w:trPr>
        <w:tc>
          <w:tcPr>
            <w:tcW w:w="631" w:type="dxa"/>
            <w:shd w:val="clear" w:color="auto" w:fill="auto"/>
          </w:tcPr>
          <w:p w14:paraId="4BA98506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rPr>
                <w:rFonts w:cs="Calibri"/>
                <w:bCs/>
                <w:color w:val="000000"/>
              </w:rPr>
            </w:pPr>
          </w:p>
          <w:p w14:paraId="569D477E" w14:textId="26920A80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1DAE0CD4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7C6D9D">
              <w:rPr>
                <w:rFonts w:cs="Calibri"/>
                <w:b/>
                <w:bCs/>
                <w:color w:val="000000"/>
              </w:rPr>
              <w:t>Parametr</w:t>
            </w:r>
          </w:p>
          <w:p w14:paraId="5483B87B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B915070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5A351E7A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3D0D8ACD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ACCA003" w14:textId="4835B0F6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53" w:type="dxa"/>
            <w:shd w:val="clear" w:color="auto" w:fill="auto"/>
          </w:tcPr>
          <w:p w14:paraId="47237ADE" w14:textId="11557A06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/>
              </w:rPr>
              <w:t>Potwierdzenie spełnienia  TAK</w:t>
            </w:r>
          </w:p>
        </w:tc>
        <w:tc>
          <w:tcPr>
            <w:tcW w:w="1427" w:type="dxa"/>
            <w:shd w:val="clear" w:color="auto" w:fill="auto"/>
          </w:tcPr>
          <w:p w14:paraId="5063B8DE" w14:textId="0478C0DA" w:rsidR="00D42FBF" w:rsidRPr="007C6D9D" w:rsidRDefault="00D42FBF" w:rsidP="007C6D9D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/>
              </w:rPr>
              <w:t xml:space="preserve">Potwierdzenie spełnienia </w:t>
            </w:r>
            <w:r w:rsidR="007C6D9D">
              <w:rPr>
                <w:rFonts w:cs="Calibri"/>
                <w:b/>
              </w:rPr>
              <w:t>TAK/</w:t>
            </w:r>
            <w:r w:rsidRPr="007C6D9D">
              <w:rPr>
                <w:rFonts w:cs="Calibri"/>
                <w:b/>
              </w:rPr>
              <w:t>NIE</w:t>
            </w:r>
          </w:p>
        </w:tc>
      </w:tr>
      <w:tr w:rsidR="00D42FBF" w:rsidRPr="007C6D9D" w14:paraId="09690DED" w14:textId="77777777" w:rsidTr="00D42FBF">
        <w:trPr>
          <w:trHeight w:val="645"/>
        </w:trPr>
        <w:tc>
          <w:tcPr>
            <w:tcW w:w="631" w:type="dxa"/>
            <w:shd w:val="clear" w:color="auto" w:fill="auto"/>
          </w:tcPr>
          <w:p w14:paraId="32637093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2BE283FB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7C6D9D">
              <w:rPr>
                <w:rFonts w:cs="Calibri"/>
                <w:b/>
                <w:bCs/>
                <w:color w:val="000000"/>
              </w:rPr>
              <w:t>TYP/MODEL, ROK PRODUKCJI, KRAJ POCHODZENIA - PODAĆ</w:t>
            </w:r>
          </w:p>
        </w:tc>
        <w:tc>
          <w:tcPr>
            <w:tcW w:w="1153" w:type="dxa"/>
            <w:shd w:val="clear" w:color="auto" w:fill="auto"/>
          </w:tcPr>
          <w:p w14:paraId="2BEE0016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648625E7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rPr>
                <w:rFonts w:cs="Calibri"/>
                <w:b/>
              </w:rPr>
            </w:pPr>
          </w:p>
        </w:tc>
      </w:tr>
      <w:tr w:rsidR="00D42FBF" w:rsidRPr="007C6D9D" w14:paraId="55D8094E" w14:textId="682F1C57" w:rsidTr="00D42FBF">
        <w:tc>
          <w:tcPr>
            <w:tcW w:w="631" w:type="dxa"/>
            <w:shd w:val="clear" w:color="auto" w:fill="auto"/>
          </w:tcPr>
          <w:p w14:paraId="62CE9946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7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5EEB2F7D" w14:textId="5C99B8BF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Wieloparametrowy analizator do badań    immunodiagnostycznych      metodą enzymoimmunofluorescencyjną.</w:t>
            </w:r>
          </w:p>
          <w:p w14:paraId="2ADAFBDB" w14:textId="73C16FCE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DFCC9D7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5F26D2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D42FBF" w:rsidRPr="007C6D9D" w14:paraId="77E14B1C" w14:textId="4370E493" w:rsidTr="00D42FBF">
        <w:tc>
          <w:tcPr>
            <w:tcW w:w="631" w:type="dxa"/>
            <w:shd w:val="clear" w:color="auto" w:fill="auto"/>
          </w:tcPr>
          <w:p w14:paraId="5BE9EB1F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7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628F0850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Analizator przeznaczony do pracy na stole laboratoryjnym.</w:t>
            </w:r>
          </w:p>
          <w:p w14:paraId="37EDF2C8" w14:textId="7F89BFC6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E87B96C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DBCF5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D42FBF" w:rsidRPr="007C6D9D" w14:paraId="3464036A" w14:textId="54A212B6" w:rsidTr="00D42FBF">
        <w:tc>
          <w:tcPr>
            <w:tcW w:w="631" w:type="dxa"/>
            <w:shd w:val="clear" w:color="auto" w:fill="auto"/>
          </w:tcPr>
          <w:p w14:paraId="190B5A13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7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17A9E486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Stała gotowość aparatu do pracy przez 24 h  na dobę bez przerw powodujących niedostępność analizatora do rutynowej pracy.</w:t>
            </w:r>
          </w:p>
          <w:p w14:paraId="638B49C4" w14:textId="243EC8CB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199CD40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B4B4F8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D42FBF" w:rsidRPr="007C6D9D" w14:paraId="531E5779" w14:textId="45ABA438" w:rsidTr="00D42FBF">
        <w:tc>
          <w:tcPr>
            <w:tcW w:w="631" w:type="dxa"/>
            <w:shd w:val="clear" w:color="auto" w:fill="auto"/>
          </w:tcPr>
          <w:p w14:paraId="7BE3DA63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7" w:lineRule="exact"/>
              <w:rPr>
                <w:rFonts w:cs="Calibri"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7049C8E0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color w:val="000000"/>
              </w:rPr>
            </w:pPr>
            <w:r w:rsidRPr="007C6D9D">
              <w:rPr>
                <w:rFonts w:cs="Calibri"/>
                <w:color w:val="000000"/>
              </w:rPr>
              <w:t>Aparat   nie   wymagający   wykonywania   czynności   startowych   (płukanie,   wstawianie dodatkowych odczynników takich jak substraty,  płyny dekontaminujące i materiałów zużywalnych).</w:t>
            </w:r>
          </w:p>
          <w:p w14:paraId="6F3E02D8" w14:textId="6BB094CF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900147A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4C7C79E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color w:val="000000"/>
              </w:rPr>
            </w:pPr>
          </w:p>
        </w:tc>
      </w:tr>
      <w:tr w:rsidR="00D42FBF" w:rsidRPr="007C6D9D" w14:paraId="55BB50D9" w14:textId="53561494" w:rsidTr="00D42FBF">
        <w:tc>
          <w:tcPr>
            <w:tcW w:w="631" w:type="dxa"/>
            <w:shd w:val="clear" w:color="auto" w:fill="auto"/>
          </w:tcPr>
          <w:p w14:paraId="4E0E9DEA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7" w:lineRule="exact"/>
              <w:rPr>
                <w:rFonts w:cs="Calibri"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3C60D496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color w:val="000000"/>
              </w:rPr>
            </w:pPr>
            <w:r w:rsidRPr="007C6D9D">
              <w:rPr>
                <w:rFonts w:cs="Calibri"/>
                <w:color w:val="000000"/>
              </w:rPr>
              <w:t>Brak płynów płuczących i odczynników dodatkowych koniecznych do rutynowej obsługi aparatu</w:t>
            </w:r>
          </w:p>
          <w:p w14:paraId="21CCF57F" w14:textId="59AC26FE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rPr>
                <w:rFonts w:cs="Calibri"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EF2DAA8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8605319" w14:textId="77777777" w:rsidR="00D42FBF" w:rsidRPr="007C6D9D" w:rsidRDefault="00D42FBF" w:rsidP="00D42FBF">
            <w:pPr>
              <w:shd w:val="clear" w:color="auto" w:fill="FFFFFF"/>
              <w:tabs>
                <w:tab w:val="left" w:pos="353"/>
              </w:tabs>
              <w:spacing w:line="377" w:lineRule="exact"/>
              <w:jc w:val="center"/>
              <w:rPr>
                <w:rFonts w:cs="Calibri"/>
                <w:color w:val="000000"/>
              </w:rPr>
            </w:pPr>
          </w:p>
        </w:tc>
      </w:tr>
      <w:tr w:rsidR="00D42FBF" w:rsidRPr="007C6D9D" w14:paraId="2E7CABD6" w14:textId="7C53EA24" w:rsidTr="00D42FBF">
        <w:tc>
          <w:tcPr>
            <w:tcW w:w="631" w:type="dxa"/>
            <w:shd w:val="clear" w:color="auto" w:fill="auto"/>
          </w:tcPr>
          <w:p w14:paraId="0E196B4D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9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44DAB318" w14:textId="77777777" w:rsidR="00D42FBF" w:rsidRPr="007C6D9D" w:rsidRDefault="00D42FBF" w:rsidP="00D42FBF">
            <w:pPr>
              <w:shd w:val="clear" w:color="auto" w:fill="FFFFFF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Minimum 12 miejsc pomiarowych.</w:t>
            </w:r>
          </w:p>
          <w:p w14:paraId="003633FB" w14:textId="69C85110" w:rsidR="00D42FBF" w:rsidRPr="007C6D9D" w:rsidRDefault="00D42FBF" w:rsidP="00D42FBF">
            <w:pPr>
              <w:shd w:val="clear" w:color="auto" w:fill="FFFFFF"/>
              <w:rPr>
                <w:rFonts w:cs="Calibri"/>
                <w:bCs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A74D0D7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4A69D4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D42FBF" w:rsidRPr="007C6D9D" w14:paraId="04AAF6C8" w14:textId="173C2D00" w:rsidTr="00D42FBF">
        <w:tc>
          <w:tcPr>
            <w:tcW w:w="631" w:type="dxa"/>
            <w:shd w:val="clear" w:color="auto" w:fill="auto"/>
          </w:tcPr>
          <w:p w14:paraId="7FD90FE6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9" w:lineRule="exact"/>
              <w:rPr>
                <w:rFonts w:cs="Calibri"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763DF997" w14:textId="77777777" w:rsidR="00D42FBF" w:rsidRPr="007C6D9D" w:rsidRDefault="00D42FBF" w:rsidP="00D42FBF">
            <w:pPr>
              <w:shd w:val="clear" w:color="auto" w:fill="FFFFFF"/>
              <w:rPr>
                <w:rFonts w:cs="Calibri"/>
                <w:color w:val="000000"/>
              </w:rPr>
            </w:pPr>
            <w:r w:rsidRPr="007C6D9D">
              <w:rPr>
                <w:rFonts w:cs="Calibri"/>
                <w:color w:val="000000"/>
              </w:rPr>
              <w:t>Aparat   bezigłowy   -   wykluczenie   możliwości    kontaminacji    próbki (przeniesienia oznaczanego   składnika   pomiędzy  próbkami) i zakażenia personelu (jednorazowe zestawy testowe dla jednego pacjenta).</w:t>
            </w:r>
          </w:p>
          <w:p w14:paraId="4543DE9E" w14:textId="15158939" w:rsidR="00D42FBF" w:rsidRPr="007C6D9D" w:rsidRDefault="00D42FBF" w:rsidP="00D42FBF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7C03B2C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A97262C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color w:val="000000"/>
              </w:rPr>
            </w:pPr>
          </w:p>
        </w:tc>
      </w:tr>
      <w:tr w:rsidR="00D42FBF" w:rsidRPr="007C6D9D" w14:paraId="12413F14" w14:textId="41980F10" w:rsidTr="00D42FBF">
        <w:tc>
          <w:tcPr>
            <w:tcW w:w="631" w:type="dxa"/>
            <w:shd w:val="clear" w:color="auto" w:fill="auto"/>
          </w:tcPr>
          <w:p w14:paraId="2DCA0A6F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9" w:lineRule="exact"/>
              <w:rPr>
                <w:rFonts w:cs="Calibri"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1CBACDEC" w14:textId="77777777" w:rsidR="00D42FBF" w:rsidRPr="007C6D9D" w:rsidRDefault="00D42FBF" w:rsidP="00D42FBF">
            <w:pPr>
              <w:shd w:val="clear" w:color="auto" w:fill="FFFFFF"/>
              <w:rPr>
                <w:rFonts w:cs="Calibri"/>
                <w:color w:val="000000"/>
              </w:rPr>
            </w:pPr>
            <w:r w:rsidRPr="007C6D9D">
              <w:rPr>
                <w:rFonts w:cs="Calibri"/>
                <w:color w:val="000000"/>
              </w:rPr>
              <w:t>Kompletne zestawy odczynników (zestawy testowe, kalibratory i kontrole wchodzące w skład zestawu).</w:t>
            </w:r>
          </w:p>
          <w:p w14:paraId="3AFF0B82" w14:textId="429D044D" w:rsidR="00D42FBF" w:rsidRPr="007C6D9D" w:rsidRDefault="00D42FBF" w:rsidP="00D42FBF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5694321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186AC83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color w:val="000000"/>
              </w:rPr>
            </w:pPr>
          </w:p>
        </w:tc>
      </w:tr>
      <w:tr w:rsidR="00D42FBF" w:rsidRPr="007C6D9D" w14:paraId="23E7F3A1" w14:textId="75399D8F" w:rsidTr="007C6D9D">
        <w:trPr>
          <w:trHeight w:val="758"/>
        </w:trPr>
        <w:tc>
          <w:tcPr>
            <w:tcW w:w="631" w:type="dxa"/>
            <w:shd w:val="clear" w:color="auto" w:fill="auto"/>
          </w:tcPr>
          <w:p w14:paraId="6C1D9FEE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9" w:lineRule="exact"/>
              <w:rPr>
                <w:rFonts w:cs="Calibri"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0DBDF59F" w14:textId="77777777" w:rsidR="00D42FBF" w:rsidRPr="007C6D9D" w:rsidRDefault="00D42FBF" w:rsidP="00D42FBF">
            <w:pPr>
              <w:shd w:val="clear" w:color="auto" w:fill="FFFFFF"/>
              <w:rPr>
                <w:rFonts w:cs="Calibri"/>
                <w:color w:val="000000"/>
              </w:rPr>
            </w:pPr>
            <w:r w:rsidRPr="007C6D9D">
              <w:rPr>
                <w:rFonts w:cs="Calibri"/>
                <w:color w:val="000000"/>
              </w:rPr>
              <w:t>Zestawy odczynników,  których otwarcie nie skraca terminu ważności opisanego na zestawie odczynnikowym.</w:t>
            </w:r>
          </w:p>
          <w:p w14:paraId="478D5A1B" w14:textId="457AA94E" w:rsidR="00D42FBF" w:rsidRPr="007C6D9D" w:rsidRDefault="00D42FBF" w:rsidP="00D42FBF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C6A656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E8012" w14:textId="77777777" w:rsidR="00D42FBF" w:rsidRPr="007C6D9D" w:rsidRDefault="00D42FBF" w:rsidP="00D42FBF">
            <w:pPr>
              <w:shd w:val="clear" w:color="auto" w:fill="FFFFFF"/>
              <w:spacing w:line="379" w:lineRule="exact"/>
              <w:jc w:val="center"/>
              <w:rPr>
                <w:rFonts w:cs="Calibri"/>
                <w:color w:val="000000"/>
              </w:rPr>
            </w:pPr>
          </w:p>
        </w:tc>
      </w:tr>
      <w:tr w:rsidR="00D42FBF" w:rsidRPr="007C6D9D" w14:paraId="17B37B59" w14:textId="12A09097" w:rsidTr="00D42FBF">
        <w:tc>
          <w:tcPr>
            <w:tcW w:w="631" w:type="dxa"/>
            <w:shd w:val="clear" w:color="auto" w:fill="auto"/>
          </w:tcPr>
          <w:p w14:paraId="147A3EC8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8"/>
              </w:tabs>
              <w:suppressAutoHyphens/>
              <w:autoSpaceDE w:val="0"/>
              <w:autoSpaceDN w:val="0"/>
              <w:adjustRightInd w:val="0"/>
              <w:spacing w:line="386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38C422CE" w14:textId="77777777" w:rsidR="00D42FBF" w:rsidRPr="007C6D9D" w:rsidRDefault="00D42FBF" w:rsidP="00D42FBF">
            <w:pPr>
              <w:shd w:val="clear" w:color="auto" w:fill="FFFFFF"/>
              <w:tabs>
                <w:tab w:val="left" w:pos="468"/>
              </w:tabs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Krzywa kalibracyjna przechowywana w pamięci aparatu, a rekalibracja wykonywana nie częściej niż co dwa tygodnie.</w:t>
            </w:r>
          </w:p>
          <w:p w14:paraId="30C74996" w14:textId="4B8497E6" w:rsidR="00D42FBF" w:rsidRPr="007C6D9D" w:rsidRDefault="00D42FBF" w:rsidP="00D42FBF">
            <w:pPr>
              <w:shd w:val="clear" w:color="auto" w:fill="FFFFFF"/>
              <w:tabs>
                <w:tab w:val="left" w:pos="468"/>
              </w:tabs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85ECB8B" w14:textId="77777777" w:rsidR="00D42FBF" w:rsidRPr="007C6D9D" w:rsidRDefault="00D42FBF" w:rsidP="00D42FBF">
            <w:pPr>
              <w:shd w:val="clear" w:color="auto" w:fill="FFFFFF"/>
              <w:tabs>
                <w:tab w:val="left" w:pos="468"/>
              </w:tabs>
              <w:spacing w:line="386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4D79D24" w14:textId="77777777" w:rsidR="00D42FBF" w:rsidRPr="007C6D9D" w:rsidRDefault="00D42FBF" w:rsidP="00D42FBF">
            <w:pPr>
              <w:shd w:val="clear" w:color="auto" w:fill="FFFFFF"/>
              <w:tabs>
                <w:tab w:val="left" w:pos="468"/>
              </w:tabs>
              <w:spacing w:line="386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D42FBF" w:rsidRPr="007C6D9D" w14:paraId="680B7DE9" w14:textId="461A6CAD" w:rsidTr="00D42FBF">
        <w:trPr>
          <w:trHeight w:val="675"/>
        </w:trPr>
        <w:tc>
          <w:tcPr>
            <w:tcW w:w="631" w:type="dxa"/>
            <w:shd w:val="clear" w:color="auto" w:fill="auto"/>
          </w:tcPr>
          <w:p w14:paraId="5B8FD5BB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4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31C8072C" w14:textId="77777777" w:rsidR="00D42FBF" w:rsidRPr="007C6D9D" w:rsidRDefault="00D42FBF" w:rsidP="00D42FBF">
            <w:pPr>
              <w:shd w:val="clear" w:color="auto" w:fill="FFFFFF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Wykonywanie badań immunochemicznych, chorób zakaźnych i parametrów hemostazy</w:t>
            </w:r>
          </w:p>
          <w:p w14:paraId="38073CF4" w14:textId="2CF00E42" w:rsidR="00D42FBF" w:rsidRPr="007C6D9D" w:rsidRDefault="00D42FBF" w:rsidP="00D42FBF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8BA2433" w14:textId="77777777" w:rsidR="00D42FBF" w:rsidRPr="007C6D9D" w:rsidRDefault="00D42FBF" w:rsidP="00D42FBF">
            <w:pPr>
              <w:shd w:val="clear" w:color="auto" w:fill="FFFFFF"/>
              <w:spacing w:line="374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EC815B7" w14:textId="77777777" w:rsidR="00D42FBF" w:rsidRPr="007C6D9D" w:rsidRDefault="00D42FBF" w:rsidP="00D42FBF">
            <w:pPr>
              <w:shd w:val="clear" w:color="auto" w:fill="FFFFFF"/>
              <w:spacing w:line="374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D42FBF" w:rsidRPr="007C6D9D" w14:paraId="59DF15A1" w14:textId="77777777" w:rsidTr="00D42FBF">
        <w:trPr>
          <w:trHeight w:val="3300"/>
        </w:trPr>
        <w:tc>
          <w:tcPr>
            <w:tcW w:w="631" w:type="dxa"/>
            <w:shd w:val="clear" w:color="auto" w:fill="auto"/>
          </w:tcPr>
          <w:p w14:paraId="5FCA23D1" w14:textId="77777777" w:rsidR="00D42FBF" w:rsidRPr="007C6D9D" w:rsidRDefault="00D42FBF" w:rsidP="00D42FBF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374" w:lineRule="exact"/>
              <w:rPr>
                <w:rFonts w:cs="Calibri"/>
                <w:bCs/>
                <w:color w:val="000000"/>
              </w:rPr>
            </w:pPr>
          </w:p>
        </w:tc>
        <w:tc>
          <w:tcPr>
            <w:tcW w:w="5743" w:type="dxa"/>
            <w:shd w:val="clear" w:color="auto" w:fill="auto"/>
          </w:tcPr>
          <w:p w14:paraId="5E1284B8" w14:textId="77777777" w:rsidR="00D42FBF" w:rsidRPr="007C6D9D" w:rsidRDefault="00D42FBF" w:rsidP="00D42FBF">
            <w:pPr>
              <w:shd w:val="clear" w:color="auto" w:fill="FFFFFF"/>
              <w:rPr>
                <w:rFonts w:cs="Calibri"/>
              </w:rPr>
            </w:pPr>
          </w:p>
          <w:p w14:paraId="7F658E04" w14:textId="45391B55" w:rsidR="00D42FBF" w:rsidRPr="007C6D9D" w:rsidRDefault="00D42FBF" w:rsidP="00D42FBF">
            <w:pPr>
              <w:pStyle w:val="Standard"/>
              <w:tabs>
                <w:tab w:val="left" w:pos="360"/>
              </w:tabs>
              <w:rPr>
                <w:rFonts w:cs="Times New Roman"/>
                <w:sz w:val="20"/>
                <w:szCs w:val="20"/>
                <w:lang w:val="pl-PL"/>
              </w:rPr>
            </w:pPr>
            <w:r w:rsidRPr="007C6D9D">
              <w:rPr>
                <w:rFonts w:cs="Times New Roman"/>
                <w:sz w:val="20"/>
                <w:szCs w:val="20"/>
                <w:lang w:val="pl-PL"/>
              </w:rPr>
              <w:t>Zamawiający wymaga, żeby przez okres gwarancji ( gwarancja  wymagana  na cały okres trwania umowy) obsługa analizatora  odbywała się bez-kosztowo tj przeglądy- ilość zgodnie z zaleceniami producenta, serwisowanie, wymiana niezbędnych części zamiennych, olejów itp.</w:t>
            </w:r>
          </w:p>
          <w:p w14:paraId="64B5A4EB" w14:textId="3ADA5935" w:rsidR="00D42FBF" w:rsidRPr="007C6D9D" w:rsidRDefault="00D42FBF" w:rsidP="00D42FBF">
            <w:pPr>
              <w:pStyle w:val="Standard"/>
              <w:tabs>
                <w:tab w:val="left" w:pos="360"/>
              </w:tabs>
              <w:rPr>
                <w:rFonts w:cs="Times New Roman"/>
                <w:sz w:val="20"/>
                <w:szCs w:val="20"/>
                <w:lang w:val="pl-PL"/>
              </w:rPr>
            </w:pPr>
            <w:r w:rsidRPr="007C6D9D">
              <w:rPr>
                <w:rFonts w:cs="Times New Roman"/>
                <w:sz w:val="20"/>
                <w:szCs w:val="20"/>
                <w:lang w:val="pl-PL"/>
              </w:rPr>
              <w:t>Zamawiający wymaga, żeby zaproponowany analizator  był kompatybilny z odczynnikami ,na których pracuje laboratorium zamawiającego Zamawiający wymaga podłączenia analizatora do systemu informatycznego</w:t>
            </w:r>
          </w:p>
          <w:p w14:paraId="2784A7E9" w14:textId="77777777" w:rsidR="00D42FBF" w:rsidRPr="007C6D9D" w:rsidRDefault="00D42FBF" w:rsidP="00D42FBF">
            <w:pPr>
              <w:pStyle w:val="Standard"/>
              <w:tabs>
                <w:tab w:val="left" w:pos="360"/>
              </w:tabs>
              <w:rPr>
                <w:rFonts w:ascii="Arimo" w:hAnsi="Arimo" w:cs="Arial"/>
                <w:lang w:val="pl-PL"/>
              </w:rPr>
            </w:pPr>
          </w:p>
          <w:p w14:paraId="68CCF319" w14:textId="77777777" w:rsidR="00D42FBF" w:rsidRPr="007C6D9D" w:rsidRDefault="00D42FBF" w:rsidP="00D42FBF">
            <w:pPr>
              <w:shd w:val="clear" w:color="auto" w:fill="FFFFFF"/>
              <w:rPr>
                <w:rFonts w:cs="Calibri"/>
                <w:bCs/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996EEAF" w14:textId="7F5FCC45" w:rsidR="00D42FBF" w:rsidRPr="007C6D9D" w:rsidRDefault="00D42FBF" w:rsidP="00D42FBF">
            <w:pPr>
              <w:shd w:val="clear" w:color="auto" w:fill="FFFFFF"/>
              <w:spacing w:line="374" w:lineRule="exact"/>
              <w:jc w:val="center"/>
              <w:rPr>
                <w:rFonts w:cs="Calibri"/>
                <w:bCs/>
                <w:color w:val="000000"/>
              </w:rPr>
            </w:pPr>
            <w:r w:rsidRPr="007C6D9D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E4F78EE" w14:textId="77777777" w:rsidR="00D42FBF" w:rsidRPr="007C6D9D" w:rsidRDefault="00D42FBF" w:rsidP="00D42FBF">
            <w:pPr>
              <w:shd w:val="clear" w:color="auto" w:fill="FFFFFF"/>
              <w:spacing w:line="374" w:lineRule="exact"/>
              <w:jc w:val="center"/>
              <w:rPr>
                <w:rFonts w:cs="Calibri"/>
                <w:bCs/>
                <w:color w:val="000000"/>
              </w:rPr>
            </w:pPr>
          </w:p>
        </w:tc>
      </w:tr>
    </w:tbl>
    <w:p w14:paraId="1BEA3521" w14:textId="428F29B1" w:rsidR="00311478" w:rsidRPr="007C6D9D" w:rsidRDefault="00D42FBF">
      <w:pPr>
        <w:rPr>
          <w:b/>
          <w:bCs/>
        </w:rPr>
      </w:pPr>
      <w:r w:rsidRPr="007C6D9D">
        <w:rPr>
          <w:b/>
          <w:bCs/>
        </w:rPr>
        <w:t xml:space="preserve">załącznik nr 6 do SWZ /ZP/TP – 2/2021                                       ZMIANA NR 1 </w:t>
      </w:r>
    </w:p>
    <w:sectPr w:rsidR="00311478" w:rsidRPr="007C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A8A5" w14:textId="77777777" w:rsidR="007617AE" w:rsidRDefault="007617AE" w:rsidP="00B56484">
      <w:r>
        <w:separator/>
      </w:r>
    </w:p>
  </w:endnote>
  <w:endnote w:type="continuationSeparator" w:id="0">
    <w:p w14:paraId="049D6C37" w14:textId="77777777" w:rsidR="007617AE" w:rsidRDefault="007617AE" w:rsidP="00B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6F15" w14:textId="77777777" w:rsidR="007617AE" w:rsidRDefault="007617AE" w:rsidP="00B56484">
      <w:r>
        <w:separator/>
      </w:r>
    </w:p>
  </w:footnote>
  <w:footnote w:type="continuationSeparator" w:id="0">
    <w:p w14:paraId="6466B544" w14:textId="77777777" w:rsidR="007617AE" w:rsidRDefault="007617AE" w:rsidP="00B5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655"/>
    <w:multiLevelType w:val="hybridMultilevel"/>
    <w:tmpl w:val="4A2000C8"/>
    <w:lvl w:ilvl="0" w:tplc="B2E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34"/>
    <w:rsid w:val="000C3B0F"/>
    <w:rsid w:val="00311478"/>
    <w:rsid w:val="003225F3"/>
    <w:rsid w:val="004D2834"/>
    <w:rsid w:val="0057525C"/>
    <w:rsid w:val="006C338A"/>
    <w:rsid w:val="007617AE"/>
    <w:rsid w:val="00781700"/>
    <w:rsid w:val="007C6D9D"/>
    <w:rsid w:val="00B56484"/>
    <w:rsid w:val="00D42FBF"/>
    <w:rsid w:val="00D64407"/>
    <w:rsid w:val="00DD0535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8D1B"/>
  <w15:docId w15:val="{2009667B-F5A5-4663-A0E8-ED0327A3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4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484"/>
  </w:style>
  <w:style w:type="paragraph" w:styleId="Stopka">
    <w:name w:val="footer"/>
    <w:basedOn w:val="Normalny"/>
    <w:link w:val="StopkaZnak"/>
    <w:uiPriority w:val="99"/>
    <w:unhideWhenUsed/>
    <w:rsid w:val="00B56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484"/>
  </w:style>
  <w:style w:type="paragraph" w:customStyle="1" w:styleId="Znak1">
    <w:name w:val="Znak1"/>
    <w:basedOn w:val="Normalny"/>
    <w:rsid w:val="00B56484"/>
    <w:pPr>
      <w:jc w:val="left"/>
    </w:pPr>
    <w:rPr>
      <w:sz w:val="24"/>
      <w:szCs w:val="24"/>
    </w:rPr>
  </w:style>
  <w:style w:type="paragraph" w:customStyle="1" w:styleId="Standard">
    <w:name w:val="Standard"/>
    <w:rsid w:val="00D42F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1699</Characters>
  <Application>Microsoft Office Word</Application>
  <DocSecurity>0</DocSecurity>
  <Lines>14</Lines>
  <Paragraphs>3</Paragraphs>
  <ScaleCrop>false</ScaleCrop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5</cp:revision>
  <cp:lastPrinted>2022-02-25T10:09:00Z</cp:lastPrinted>
  <dcterms:created xsi:type="dcterms:W3CDTF">2022-02-25T10:05:00Z</dcterms:created>
  <dcterms:modified xsi:type="dcterms:W3CDTF">2022-02-25T10:20:00Z</dcterms:modified>
</cp:coreProperties>
</file>