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 xml:space="preserve">Budowa obiektów małej architektury na terenie parku im. Jana Pawła II </w:t>
      </w:r>
      <w:r>
        <w:rPr>
          <w:rStyle w:val="Domylnaczcionkaakapitu"/>
          <w:rFonts w:ascii="Arial" w:hAnsi="Arial"/>
          <w:sz w:val="22"/>
          <w:szCs w:val="22"/>
        </w:rPr>
        <w:t>w Legionowie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b</w:t>
      </w:r>
      <w:r>
        <w:rPr>
          <w:rStyle w:val="Domylnaczcionkaakapitu"/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udow</w:t>
      </w:r>
      <w:r>
        <w:rPr>
          <w:rStyle w:val="Domylnaczcionkaakapitu"/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ę</w:t>
      </w:r>
      <w:r>
        <w:rPr>
          <w:rStyle w:val="Domylnaczcionkaakapitu"/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obiektów małej architektury na terenie parku im. Jana Pawła II </w:t>
      </w:r>
      <w:r>
        <w:rPr>
          <w:rStyle w:val="Domylnaczcionkaakapitu"/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 Legionowie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na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roboty budowlane, urządzenia i nawierzchnie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wynoszący: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miesięcy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29 kwietnia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2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b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udow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ę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obiektów małej architektury na terenie parku im. Jana Pawła II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w Legionowie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Tretekstu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4</Pages>
  <Words>692</Words>
  <Characters>4515</Characters>
  <CharactersWithSpaces>5152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2022-03-15T11:39:44Z</dcterms:created>
  <dc:creator/>
  <dc:description/>
  <dc:language>pl-PL</dc:language>
  <cp:lastModifiedBy/>
  <dcterms:modified xsi:type="dcterms:W3CDTF">2022-03-15T12:00:47Z</dcterms:modified>
  <cp:revision>2</cp:revision>
  <dc:subject/>
  <dc:title/>
</cp:coreProperties>
</file>