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CEE4" w14:textId="4EBB2FD0"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8863FF">
        <w:rPr>
          <w:rFonts w:asciiTheme="minorHAnsi" w:hAnsiTheme="minorHAnsi" w:cstheme="minorHAnsi"/>
          <w:b/>
          <w:bCs/>
          <w:u w:val="single"/>
        </w:rPr>
        <w:t>V</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349FC9F6" w:rsidR="00DE657B" w:rsidRPr="00D95D9B" w:rsidRDefault="008863FF" w:rsidP="001579B5">
      <w:pPr>
        <w:spacing w:before="120"/>
        <w:jc w:val="center"/>
        <w:rPr>
          <w:rFonts w:asciiTheme="minorHAnsi" w:hAnsiTheme="minorHAnsi" w:cstheme="minorHAnsi"/>
        </w:rPr>
      </w:pPr>
      <w:bookmarkStart w:id="0" w:name="_Hlk109203365"/>
      <w:r>
        <w:rPr>
          <w:rFonts w:asciiTheme="minorHAnsi" w:hAnsiTheme="minorHAnsi" w:cstheme="minorHAnsi"/>
        </w:rPr>
        <w:t>A</w:t>
      </w:r>
      <w:r w:rsidRPr="008863FF">
        <w:rPr>
          <w:rFonts w:asciiTheme="minorHAnsi" w:hAnsiTheme="minorHAnsi" w:cstheme="minorHAnsi"/>
        </w:rPr>
        <w:t xml:space="preserve">ktualizacja dokumentacji projektowej przebudowy systemu telewizji dozorowej </w:t>
      </w:r>
      <w:r>
        <w:rPr>
          <w:rFonts w:asciiTheme="minorHAnsi" w:hAnsiTheme="minorHAnsi" w:cstheme="minorHAnsi"/>
        </w:rPr>
        <w:br/>
      </w:r>
      <w:r w:rsidRPr="008863FF">
        <w:rPr>
          <w:rFonts w:asciiTheme="minorHAnsi" w:hAnsiTheme="minorHAnsi" w:cstheme="minorHAnsi"/>
        </w:rPr>
        <w:t xml:space="preserve">oraz opracowanie dokumentacji projektowej modernizacji kontroli dostępu </w:t>
      </w:r>
      <w:r>
        <w:rPr>
          <w:rFonts w:asciiTheme="minorHAnsi" w:hAnsiTheme="minorHAnsi" w:cstheme="minorHAnsi"/>
        </w:rPr>
        <w:br/>
      </w:r>
      <w:r w:rsidRPr="008863FF">
        <w:rPr>
          <w:rFonts w:asciiTheme="minorHAnsi" w:hAnsiTheme="minorHAnsi" w:cstheme="minorHAnsi"/>
        </w:rPr>
        <w:t>na Drogowym Przejściu Granicznym w Bezledach</w:t>
      </w:r>
      <w:bookmarkEnd w:id="0"/>
    </w:p>
    <w:p w14:paraId="1C32DF93" w14:textId="77777777" w:rsidR="00F216E4" w:rsidRPr="00D95D9B" w:rsidRDefault="00F216E4" w:rsidP="00A92717">
      <w:pPr>
        <w:jc w:val="both"/>
        <w:rPr>
          <w:rFonts w:asciiTheme="minorHAnsi" w:hAnsiTheme="minorHAnsi" w:cstheme="minorHAnsi"/>
          <w:sz w:val="32"/>
          <w:szCs w:val="32"/>
        </w:rPr>
      </w:pPr>
    </w:p>
    <w:p w14:paraId="2743634C" w14:textId="7B267A09" w:rsidR="00AD57D0" w:rsidRPr="00D95D9B" w:rsidRDefault="00AD57D0" w:rsidP="00B70CFA">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 xml:space="preserve">Charakterystyka </w:t>
      </w:r>
      <w:r w:rsidR="0077316A" w:rsidRPr="00D95D9B">
        <w:rPr>
          <w:rFonts w:asciiTheme="minorHAnsi" w:hAnsiTheme="minorHAnsi" w:cstheme="minorHAnsi"/>
        </w:rPr>
        <w:t xml:space="preserve">zadania objętego </w:t>
      </w:r>
      <w:r w:rsidR="008863FF">
        <w:rPr>
          <w:rFonts w:asciiTheme="minorHAnsi" w:hAnsiTheme="minorHAnsi" w:cstheme="minorHAnsi"/>
        </w:rPr>
        <w:t>CZĘŚCIĄ VI zamówienia</w:t>
      </w:r>
      <w:r w:rsidR="00A64C76" w:rsidRPr="00D95D9B">
        <w:rPr>
          <w:rFonts w:asciiTheme="minorHAnsi" w:hAnsiTheme="minorHAnsi" w:cstheme="minorHAnsi"/>
        </w:rPr>
        <w:t>:</w:t>
      </w:r>
    </w:p>
    <w:p w14:paraId="5F4519C6" w14:textId="0512920D" w:rsidR="00AD57D0" w:rsidRDefault="008863FF"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wykonanie aktualizacji dokumentacji projektowej sporządzonej w roku 2018</w:t>
      </w:r>
      <w:r w:rsidR="0081613D">
        <w:rPr>
          <w:rFonts w:asciiTheme="minorHAnsi" w:hAnsiTheme="minorHAnsi" w:cstheme="minorHAnsi"/>
        </w:rPr>
        <w:t>,</w:t>
      </w:r>
      <w:r>
        <w:rPr>
          <w:rFonts w:asciiTheme="minorHAnsi" w:hAnsiTheme="minorHAnsi" w:cstheme="minorHAnsi"/>
        </w:rPr>
        <w:t xml:space="preserve"> obejmującej przebudowę istniejącego monitoringu z technologii analogowej na monitoring w technologii cyfrowej oraz dodatkowo</w:t>
      </w:r>
      <w:r w:rsidR="00B336BA">
        <w:rPr>
          <w:rFonts w:asciiTheme="minorHAnsi" w:hAnsiTheme="minorHAnsi" w:cstheme="minorHAnsi"/>
        </w:rPr>
        <w:t xml:space="preserve"> wykonanie dokumentacji projektowej modernizacji systemu kontroli dostępu na Drogowym Przejściu Granicznym w Bezledach,</w:t>
      </w:r>
    </w:p>
    <w:p w14:paraId="1FA3A2C9" w14:textId="5C666B4C" w:rsidR="000031AB" w:rsidRDefault="00B336BA" w:rsidP="00A82312">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zakres rzeczowy aktualizacji dokumentacji projektowej</w:t>
      </w:r>
      <w:r w:rsidR="000031AB">
        <w:rPr>
          <w:rFonts w:asciiTheme="minorHAnsi" w:hAnsiTheme="minorHAnsi" w:cstheme="minorHAnsi"/>
        </w:rPr>
        <w:t xml:space="preserve"> i kosztorysowej </w:t>
      </w:r>
      <w:r w:rsidR="00A82312">
        <w:rPr>
          <w:rFonts w:asciiTheme="minorHAnsi" w:hAnsiTheme="minorHAnsi" w:cstheme="minorHAnsi"/>
        </w:rPr>
        <w:t>znajduje się w załączniku nr 15 do SWZ,</w:t>
      </w:r>
    </w:p>
    <w:p w14:paraId="0D151A6A" w14:textId="2DCE2A0B" w:rsidR="00A82312" w:rsidRPr="00A82312" w:rsidRDefault="00A82312" w:rsidP="00A82312">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podczas aktualizacji i opracowania dokumentacji projektowej należy kierować się zasadą gospodarności i oszczędności w zakresie kosztów zakupu oraz instalacji sprzętu i urządzeń.</w:t>
      </w:r>
    </w:p>
    <w:p w14:paraId="49700BDC" w14:textId="77777777" w:rsidR="00982265" w:rsidRDefault="00982265" w:rsidP="00C65792">
      <w:pPr>
        <w:jc w:val="both"/>
        <w:rPr>
          <w:rFonts w:asciiTheme="minorHAnsi" w:hAnsiTheme="minorHAnsi" w:cstheme="minorHAnsi"/>
        </w:rPr>
      </w:pPr>
    </w:p>
    <w:p w14:paraId="14C73500" w14:textId="519CE2C8"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bookmarkStart w:id="1" w:name="_Hlk113447948"/>
      <w:bookmarkStart w:id="2" w:name="_Hlk113447915"/>
      <w:r w:rsidRPr="00D95D9B">
        <w:rPr>
          <w:rFonts w:asciiTheme="minorHAnsi" w:hAnsiTheme="minorHAnsi" w:cstheme="minorHAnsi"/>
        </w:rPr>
        <w:t xml:space="preserve">W skład </w:t>
      </w:r>
      <w:r w:rsidR="00C95CF4">
        <w:rPr>
          <w:rFonts w:asciiTheme="minorHAnsi" w:hAnsiTheme="minorHAnsi" w:cstheme="minorHAnsi"/>
        </w:rPr>
        <w:t xml:space="preserve">zaktualizowanej i opracowanej </w:t>
      </w:r>
      <w:r w:rsidRPr="00D95D9B">
        <w:rPr>
          <w:rFonts w:asciiTheme="minorHAnsi" w:hAnsiTheme="minorHAnsi" w:cstheme="minorHAnsi"/>
        </w:rPr>
        <w:t>dokumentacji projektowej wchodzą:</w:t>
      </w:r>
    </w:p>
    <w:p w14:paraId="0172EAA5" w14:textId="05210C76"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sporządzony zgodnie z wymogami ustawy z dnia 7 lipca 1994 r. Prawo budowlane (</w:t>
      </w:r>
      <w:r w:rsidRPr="007F29CB">
        <w:rPr>
          <w:rFonts w:asciiTheme="minorHAnsi" w:hAnsiTheme="minorHAnsi" w:cstheme="minorHAnsi"/>
        </w:rPr>
        <w:t>Dz. U. z 2023 r. poz. 682</w:t>
      </w:r>
      <w:r w:rsidR="00057A4A">
        <w:rPr>
          <w:rFonts w:asciiTheme="minorHAnsi" w:hAnsiTheme="minorHAnsi" w:cstheme="minorHAnsi"/>
        </w:rPr>
        <w:t xml:space="preserve"> z późn. zm.</w:t>
      </w:r>
      <w:r w:rsidR="00377F0B" w:rsidRPr="00D95D9B">
        <w:rPr>
          <w:rFonts w:asciiTheme="minorHAnsi" w:hAnsiTheme="minorHAnsi" w:cstheme="minorHAnsi"/>
        </w:rPr>
        <w:t xml:space="preserv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w:t>
      </w:r>
      <w:r w:rsidR="00B51F8D">
        <w:rPr>
          <w:rFonts w:asciiTheme="minorHAnsi" w:hAnsiTheme="minorHAnsi" w:cstheme="minorHAnsi"/>
        </w:rPr>
        <w:br/>
      </w:r>
      <w:r w:rsidR="00377F0B" w:rsidRPr="007F29CB">
        <w:rPr>
          <w:rFonts w:asciiTheme="minorHAnsi" w:hAnsiTheme="minorHAnsi" w:cstheme="minorHAnsi"/>
        </w:rPr>
        <w:t>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sporządzone zgodnie z zachowaniem wymogów wynikających z </w:t>
      </w:r>
      <w:r w:rsidR="00AB6DBE" w:rsidRPr="00D95D9B">
        <w:rPr>
          <w:rFonts w:asciiTheme="minorHAnsi" w:hAnsiTheme="minorHAnsi" w:cstheme="minorHAnsi"/>
        </w:rPr>
        <w:t>rozporządzenia Ministra Rozwoju i Technologii z dnia 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w:t>
      </w:r>
      <w:r w:rsidRPr="00D95D9B">
        <w:rPr>
          <w:rFonts w:asciiTheme="minorHAnsi" w:hAnsiTheme="minorHAnsi" w:cstheme="minorHAnsi"/>
        </w:rPr>
        <w:lastRenderedPageBreak/>
        <w:t>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t>2003 r. w sprawie informacji dotyczącej bezpieczeństwa i ochrony zdrowia oraz planu bezpieczeństwa i ochrony zdrowia (Dz. U. z 2003 r. Nr 120, poz. 1126),</w:t>
      </w:r>
    </w:p>
    <w:p w14:paraId="1D73AE68" w14:textId="773E2CB4" w:rsidR="00AD6236" w:rsidRPr="00F25CCD" w:rsidRDefault="00AD6236" w:rsidP="001D6FB9">
      <w:pPr>
        <w:pStyle w:val="Akapitzlist"/>
        <w:numPr>
          <w:ilvl w:val="0"/>
          <w:numId w:val="18"/>
        </w:numPr>
        <w:ind w:left="397" w:hanging="284"/>
        <w:jc w:val="both"/>
        <w:rPr>
          <w:rFonts w:asciiTheme="minorHAnsi" w:hAnsiTheme="minorHAnsi" w:cstheme="minorHAnsi"/>
        </w:rPr>
      </w:pPr>
      <w:r w:rsidRPr="00F25CCD">
        <w:rPr>
          <w:rFonts w:asciiTheme="minorHAnsi" w:hAnsiTheme="minorHAnsi" w:cstheme="minorHAnsi"/>
        </w:rPr>
        <w:t xml:space="preserve">program inwestycji </w:t>
      </w:r>
      <w:r w:rsidR="00881433" w:rsidRPr="00F25CCD">
        <w:rPr>
          <w:rFonts w:asciiTheme="minorHAnsi" w:hAnsiTheme="minorHAnsi" w:cstheme="minorHAnsi"/>
        </w:rPr>
        <w:t xml:space="preserve">sporządzony </w:t>
      </w:r>
      <w:r w:rsidRPr="00F25CCD">
        <w:rPr>
          <w:rFonts w:asciiTheme="minorHAnsi" w:hAnsiTheme="minorHAnsi" w:cstheme="minorHAnsi"/>
        </w:rPr>
        <w:t xml:space="preserve">zgodnie z rozporządzeniem Rady Ministrów z dnia </w:t>
      </w:r>
      <w:r w:rsidR="00881433" w:rsidRPr="00F25CCD">
        <w:rPr>
          <w:rFonts w:asciiTheme="minorHAnsi" w:hAnsiTheme="minorHAnsi" w:cstheme="minorHAnsi"/>
        </w:rPr>
        <w:br/>
      </w:r>
      <w:r w:rsidRPr="00F25CCD">
        <w:rPr>
          <w:rFonts w:asciiTheme="minorHAnsi" w:hAnsiTheme="minorHAnsi" w:cstheme="minorHAnsi"/>
        </w:rPr>
        <w:t xml:space="preserve">2 grudnia 2010 r. w sprawie szczegółowego sposobu i trybu finansowania inwestycji z budżetu państwa (Dz. U. </w:t>
      </w:r>
      <w:r w:rsidR="00881433" w:rsidRPr="00F25CCD">
        <w:rPr>
          <w:rFonts w:asciiTheme="minorHAnsi" w:hAnsiTheme="minorHAnsi" w:cstheme="minorHAnsi"/>
        </w:rPr>
        <w:t xml:space="preserve">z </w:t>
      </w:r>
      <w:r w:rsidRPr="00F25CCD">
        <w:rPr>
          <w:rFonts w:asciiTheme="minorHAnsi" w:hAnsiTheme="minorHAnsi" w:cstheme="minorHAnsi"/>
        </w:rPr>
        <w:t>2010</w:t>
      </w:r>
      <w:r w:rsidR="00881433" w:rsidRPr="00F25CCD">
        <w:rPr>
          <w:rFonts w:asciiTheme="minorHAnsi" w:hAnsiTheme="minorHAnsi" w:cstheme="minorHAnsi"/>
        </w:rPr>
        <w:t xml:space="preserve"> r.</w:t>
      </w:r>
      <w:r w:rsidRPr="00F25CCD">
        <w:rPr>
          <w:rFonts w:asciiTheme="minorHAnsi" w:hAnsiTheme="minorHAnsi" w:cstheme="minorHAnsi"/>
        </w:rPr>
        <w:t xml:space="preserve"> </w:t>
      </w:r>
      <w:r w:rsidR="00881433" w:rsidRPr="00F25CCD">
        <w:rPr>
          <w:rFonts w:asciiTheme="minorHAnsi" w:hAnsiTheme="minorHAnsi" w:cstheme="minorHAnsi"/>
        </w:rPr>
        <w:t>N</w:t>
      </w:r>
      <w:r w:rsidRPr="00F25CCD">
        <w:rPr>
          <w:rFonts w:asciiTheme="minorHAnsi" w:hAnsiTheme="minorHAnsi" w:cstheme="minorHAnsi"/>
        </w:rPr>
        <w:t>r 2</w:t>
      </w:r>
      <w:r w:rsidR="00881433" w:rsidRPr="00F25CCD">
        <w:rPr>
          <w:rFonts w:asciiTheme="minorHAnsi" w:hAnsiTheme="minorHAnsi" w:cstheme="minorHAnsi"/>
        </w:rPr>
        <w:t>3</w:t>
      </w:r>
      <w:r w:rsidRPr="00F25CCD">
        <w:rPr>
          <w:rFonts w:asciiTheme="minorHAnsi" w:hAnsiTheme="minorHAnsi" w:cstheme="minorHAnsi"/>
        </w:rPr>
        <w:t>8, poz. 1579)</w:t>
      </w:r>
      <w:r w:rsidR="00881433" w:rsidRPr="00F25CCD">
        <w:rPr>
          <w:rFonts w:asciiTheme="minorHAnsi" w:hAnsiTheme="minorHAnsi" w:cstheme="minorHAnsi"/>
        </w:rPr>
        <w:t>,</w:t>
      </w:r>
    </w:p>
    <w:p w14:paraId="5C06A008" w14:textId="16D7DEC6"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 Prawo budowlane.</w:t>
      </w:r>
    </w:p>
    <w:p w14:paraId="7C048BA1" w14:textId="74B19A21" w:rsidR="009109CA" w:rsidRPr="00D95D9B" w:rsidRDefault="009109CA"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r w:rsidR="00C95CF4">
        <w:rPr>
          <w:rFonts w:asciiTheme="minorHAnsi" w:hAnsiTheme="minorHAnsi" w:cstheme="minorHAnsi"/>
        </w:rPr>
        <w:t xml:space="preserve"> (dotyczy </w:t>
      </w:r>
      <w:r w:rsidR="00C95CF4">
        <w:rPr>
          <w:rFonts w:asciiTheme="minorHAnsi" w:hAnsiTheme="minorHAnsi" w:cstheme="minorHAnsi"/>
        </w:rPr>
        <w:t xml:space="preserve">zaktualizowanej i opracowanej </w:t>
      </w:r>
      <w:r w:rsidR="00C95CF4" w:rsidRPr="00D95D9B">
        <w:rPr>
          <w:rFonts w:asciiTheme="minorHAnsi" w:hAnsiTheme="minorHAnsi" w:cstheme="minorHAnsi"/>
        </w:rPr>
        <w:t>dokumentacji projektowej</w:t>
      </w:r>
      <w:r w:rsidR="00C95CF4">
        <w:rPr>
          <w:rFonts w:asciiTheme="minorHAnsi" w:hAnsiTheme="minorHAnsi" w:cstheme="minorHAnsi"/>
        </w:rPr>
        <w:t>)</w:t>
      </w:r>
      <w:r w:rsidRPr="00D95D9B">
        <w:rPr>
          <w:rFonts w:asciiTheme="minorHAnsi" w:hAnsiTheme="minorHAnsi" w:cstheme="minorHAnsi"/>
        </w:rPr>
        <w:t>:</w:t>
      </w:r>
    </w:p>
    <w:p w14:paraId="68E4C302" w14:textId="5A670E0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3" w:name="_Hlk48165071"/>
      <w:r w:rsidRPr="00D95D9B">
        <w:rPr>
          <w:rFonts w:asciiTheme="minorHAnsi" w:hAnsiTheme="minorHAnsi" w:cstheme="minorHAnsi"/>
        </w:rPr>
        <w:t xml:space="preserve">projekt budowlano – wykonawczy – 4 egz. w wersji papierowej oraz 2 egz. w wersji elektronicznej na płycie CD w formacie </w:t>
      </w:r>
      <w:bookmarkEnd w:id="3"/>
      <w:r w:rsidRPr="00D95D9B">
        <w:rPr>
          <w:rFonts w:asciiTheme="minorHAnsi" w:hAnsiTheme="minorHAnsi" w:cstheme="minorHAnsi"/>
        </w:rPr>
        <w:t xml:space="preserve">pdf </w:t>
      </w:r>
      <w:r w:rsidR="00344396" w:rsidRPr="00D95D9B">
        <w:rPr>
          <w:rFonts w:asciiTheme="minorHAnsi" w:hAnsiTheme="minorHAnsi" w:cstheme="minorHAnsi"/>
        </w:rPr>
        <w:t>i</w:t>
      </w:r>
      <w:r w:rsidRPr="00D95D9B">
        <w:rPr>
          <w:rFonts w:asciiTheme="minorHAnsi" w:hAnsiTheme="minorHAnsi" w:cstheme="minorHAnsi"/>
        </w:rPr>
        <w:t xml:space="preserve"> dwg,</w:t>
      </w:r>
    </w:p>
    <w:p w14:paraId="2B1A2042" w14:textId="2587185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4"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 – 2 egz. w wersji papierowej oraz </w:t>
      </w:r>
      <w:r w:rsidRPr="00D95D9B">
        <w:rPr>
          <w:rFonts w:asciiTheme="minorHAnsi" w:hAnsiTheme="minorHAnsi" w:cstheme="minorHAnsi"/>
        </w:rPr>
        <w:br/>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 i doc</w:t>
      </w:r>
      <w:bookmarkEnd w:id="4"/>
      <w:r w:rsidRPr="00D95D9B">
        <w:rPr>
          <w:rFonts w:asciiTheme="minorHAnsi" w:hAnsiTheme="minorHAnsi" w:cstheme="minorHAnsi"/>
        </w:rPr>
        <w:t>,</w:t>
      </w:r>
    </w:p>
    <w:p w14:paraId="24545979" w14:textId="033C4983"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w:t>
      </w:r>
      <w:bookmarkEnd w:id="5"/>
      <w:r w:rsidR="00344396" w:rsidRPr="00D95D9B">
        <w:rPr>
          <w:rFonts w:asciiTheme="minorHAnsi" w:hAnsiTheme="minorHAnsi" w:cstheme="minorHAnsi"/>
        </w:rPr>
        <w:t xml:space="preserve"> i ath</w:t>
      </w:r>
      <w:r w:rsidRPr="00D95D9B">
        <w:rPr>
          <w:rFonts w:asciiTheme="minorHAnsi" w:hAnsiTheme="minorHAnsi" w:cstheme="minorHAnsi"/>
        </w:rPr>
        <w:t>,</w:t>
      </w:r>
    </w:p>
    <w:p w14:paraId="52F93419" w14:textId="44EEFA56"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r w:rsidR="00344396" w:rsidRPr="00D95D9B">
        <w:rPr>
          <w:rFonts w:asciiTheme="minorHAnsi" w:hAnsiTheme="minorHAnsi" w:cstheme="minorHAnsi"/>
        </w:rPr>
        <w:t xml:space="preserve"> i ath</w:t>
      </w:r>
      <w:r w:rsidRPr="00D95D9B">
        <w:rPr>
          <w:rFonts w:asciiTheme="minorHAnsi" w:hAnsiTheme="minorHAnsi" w:cstheme="minorHAnsi"/>
        </w:rPr>
        <w:t>,</w:t>
      </w:r>
      <w:bookmarkEnd w:id="6"/>
    </w:p>
    <w:p w14:paraId="3D508550" w14:textId="039667FA"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38"/>
      <w:r w:rsidRPr="00D95D9B">
        <w:rPr>
          <w:rFonts w:asciiTheme="minorHAnsi" w:hAnsiTheme="minorHAnsi" w:cstheme="minorHAnsi"/>
        </w:rPr>
        <w:t xml:space="preserve">informację dotyczącą bezpieczeństwa i ochrony zdrowia – </w:t>
      </w:r>
      <w:r w:rsidR="00344396" w:rsidRPr="00D95D9B">
        <w:rPr>
          <w:rFonts w:asciiTheme="minorHAnsi" w:hAnsiTheme="minorHAnsi" w:cstheme="minorHAnsi"/>
        </w:rPr>
        <w:t>4</w:t>
      </w:r>
      <w:r w:rsidRPr="00D95D9B">
        <w:rPr>
          <w:rFonts w:asciiTheme="minorHAnsi" w:hAnsiTheme="minorHAnsi" w:cstheme="minorHAnsi"/>
        </w:rPr>
        <w:t xml:space="preserve"> egz. w wersji papierowej oraz 2 egz. 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 formacie pdf i do</w:t>
      </w:r>
      <w:bookmarkEnd w:id="7"/>
      <w:r w:rsidR="00344396" w:rsidRPr="00D95D9B">
        <w:rPr>
          <w:rFonts w:asciiTheme="minorHAnsi" w:hAnsiTheme="minorHAnsi" w:cstheme="minorHAnsi"/>
        </w:rPr>
        <w:t>c,</w:t>
      </w:r>
    </w:p>
    <w:p w14:paraId="3C1F8676" w14:textId="5952DC1F" w:rsidR="00344396" w:rsidRPr="00D95D9B" w:rsidRDefault="00344396"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r w:rsidRPr="00D95D9B">
        <w:rPr>
          <w:rFonts w:asciiTheme="minorHAnsi" w:hAnsiTheme="minorHAnsi" w:cstheme="minorHAnsi"/>
        </w:rPr>
        <w:t>program inwestycji – 2 egz. w wersji papierowej oraz 2 egz. w wersji elektronicznej na płycie CD w formacie pdf i doc.</w:t>
      </w:r>
    </w:p>
    <w:p w14:paraId="0CDD1443" w14:textId="29DC8E75" w:rsidR="003A58C9" w:rsidRPr="00D95D9B" w:rsidRDefault="003A58C9"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lang w:val="x-none"/>
        </w:rPr>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6516E528" w14:textId="5F4642F5" w:rsidR="009109CA" w:rsidRPr="00D95D9B" w:rsidRDefault="00D9729C" w:rsidP="001D6FB9">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Wykonawca przedstawi zamawiającemu do akceptacji założenia projektowe przed przystąpieniem do </w:t>
      </w:r>
      <w:r w:rsidR="00C95CF4">
        <w:rPr>
          <w:rFonts w:asciiTheme="minorHAnsi" w:hAnsiTheme="minorHAnsi" w:cstheme="minorHAnsi"/>
        </w:rPr>
        <w:t xml:space="preserve">aktualizacji i </w:t>
      </w:r>
      <w:r w:rsidRPr="00D95D9B">
        <w:rPr>
          <w:rFonts w:asciiTheme="minorHAnsi" w:hAnsiTheme="minorHAnsi" w:cstheme="minorHAnsi"/>
        </w:rPr>
        <w:t>opracowania dokumentacji projektowej</w:t>
      </w:r>
      <w:r w:rsidR="00BA1356" w:rsidRPr="00D95D9B">
        <w:rPr>
          <w:rFonts w:asciiTheme="minorHAnsi" w:hAnsiTheme="minorHAnsi" w:cstheme="minorHAnsi"/>
        </w:rPr>
        <w:t>, a następnie</w:t>
      </w:r>
      <w:r w:rsidR="00C56B7C" w:rsidRPr="00D95D9B">
        <w:rPr>
          <w:rFonts w:asciiTheme="minorHAnsi" w:hAnsiTheme="minorHAnsi" w:cstheme="minorHAnsi"/>
        </w:rPr>
        <w:t xml:space="preserve"> </w:t>
      </w:r>
      <w:r w:rsidR="009109CA" w:rsidRPr="00D95D9B">
        <w:rPr>
          <w:rFonts w:asciiTheme="minorHAnsi" w:hAnsiTheme="minorHAnsi" w:cstheme="minorHAnsi"/>
        </w:rPr>
        <w:t>uzgodni</w:t>
      </w:r>
      <w:r w:rsidR="00C56B7C" w:rsidRPr="00D95D9B">
        <w:rPr>
          <w:rFonts w:asciiTheme="minorHAnsi" w:hAnsiTheme="minorHAnsi" w:cstheme="minorHAnsi"/>
        </w:rPr>
        <w:t xml:space="preserve"> </w:t>
      </w:r>
      <w:r w:rsidR="00C95CF4">
        <w:rPr>
          <w:rFonts w:asciiTheme="minorHAnsi" w:hAnsiTheme="minorHAnsi" w:cstheme="minorHAnsi"/>
        </w:rPr>
        <w:t xml:space="preserve">zaktualizowaną i opracowaną </w:t>
      </w:r>
      <w:r w:rsidR="00C56B7C" w:rsidRPr="00D95D9B">
        <w:rPr>
          <w:rFonts w:asciiTheme="minorHAnsi" w:hAnsiTheme="minorHAnsi" w:cstheme="minorHAnsi"/>
        </w:rPr>
        <w:t>dokumentację projektową</w:t>
      </w:r>
      <w:r w:rsidR="009109CA" w:rsidRPr="00D95D9B">
        <w:rPr>
          <w:rFonts w:asciiTheme="minorHAnsi" w:hAnsiTheme="minorHAnsi" w:cstheme="minorHAnsi"/>
        </w:rPr>
        <w:t xml:space="preserve"> z </w:t>
      </w:r>
      <w:r w:rsidR="003C4B49" w:rsidRPr="003C4B49">
        <w:rPr>
          <w:rFonts w:asciiTheme="minorHAnsi" w:hAnsiTheme="minorHAnsi" w:cstheme="minorHAnsi"/>
        </w:rPr>
        <w:t xml:space="preserve">Kierownikiem Oddziału Obsługi Drogowego Przejścia Granicznego w </w:t>
      </w:r>
      <w:r w:rsidR="00A82312">
        <w:rPr>
          <w:rFonts w:asciiTheme="minorHAnsi" w:hAnsiTheme="minorHAnsi" w:cstheme="minorHAnsi"/>
        </w:rPr>
        <w:t>Bezledach</w:t>
      </w:r>
      <w:r w:rsidR="003C4B49" w:rsidRPr="003C4B49">
        <w:rPr>
          <w:rFonts w:asciiTheme="minorHAnsi" w:hAnsiTheme="minorHAnsi" w:cstheme="minorHAnsi"/>
        </w:rPr>
        <w:t xml:space="preserve">, a także </w:t>
      </w:r>
      <w:r w:rsidR="008F5CDF" w:rsidRPr="003C4B49">
        <w:rPr>
          <w:rFonts w:asciiTheme="minorHAnsi" w:hAnsiTheme="minorHAnsi" w:cstheme="minorHAnsi"/>
        </w:rPr>
        <w:t>z</w:t>
      </w:r>
      <w:r w:rsidR="008F5CDF">
        <w:rPr>
          <w:rFonts w:asciiTheme="minorHAnsi" w:hAnsiTheme="minorHAnsi" w:cstheme="minorHAnsi"/>
        </w:rPr>
        <w:t xml:space="preserve"> właściwymi</w:t>
      </w:r>
      <w:r w:rsidR="003C4B49" w:rsidRPr="003C4B49">
        <w:rPr>
          <w:rFonts w:asciiTheme="minorHAnsi" w:hAnsiTheme="minorHAnsi" w:cstheme="minorHAnsi"/>
        </w:rPr>
        <w:t xml:space="preserve"> służbami działającymi na Drogowym Przejściu Granicznym w </w:t>
      </w:r>
      <w:r w:rsidR="00A82312">
        <w:rPr>
          <w:rFonts w:asciiTheme="minorHAnsi" w:hAnsiTheme="minorHAnsi" w:cstheme="minorHAnsi"/>
        </w:rPr>
        <w:t>Bezledach</w:t>
      </w:r>
      <w:r w:rsidR="00297E91" w:rsidRPr="00D95D9B">
        <w:rPr>
          <w:rFonts w:asciiTheme="minorHAnsi" w:hAnsiTheme="minorHAnsi" w:cstheme="minorHAnsi"/>
          <w:bCs/>
          <w:color w:val="111111"/>
        </w:rPr>
        <w:t>.</w:t>
      </w:r>
    </w:p>
    <w:p w14:paraId="27CB02F9" w14:textId="6B88D4AC" w:rsidR="00055409" w:rsidRPr="00D95D9B" w:rsidRDefault="009109CA" w:rsidP="00297E91">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1"/>
      <w:r w:rsidRPr="00D95D9B">
        <w:rPr>
          <w:rFonts w:asciiTheme="minorHAnsi" w:hAnsiTheme="minorHAnsi" w:cstheme="minorHAnsi"/>
        </w:rPr>
        <w:t>.</w:t>
      </w:r>
      <w:bookmarkEnd w:id="2"/>
    </w:p>
    <w:sectPr w:rsidR="00055409" w:rsidRPr="00D95D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1765" w14:textId="77777777" w:rsidR="00B03E04" w:rsidRDefault="00B03E04" w:rsidP="00411577">
      <w:r>
        <w:separator/>
      </w:r>
    </w:p>
  </w:endnote>
  <w:endnote w:type="continuationSeparator" w:id="0">
    <w:p w14:paraId="5EB3C287" w14:textId="77777777" w:rsidR="00B03E04" w:rsidRDefault="00B03E04"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B3DB" w14:textId="77777777" w:rsidR="00B03E04" w:rsidRDefault="00B03E04" w:rsidP="00411577">
      <w:r>
        <w:separator/>
      </w:r>
    </w:p>
  </w:footnote>
  <w:footnote w:type="continuationSeparator" w:id="0">
    <w:p w14:paraId="7AE7E4DA" w14:textId="77777777" w:rsidR="00B03E04" w:rsidRDefault="00B03E04"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6C2" w14:textId="046D7FAF"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17403A">
      <w:rPr>
        <w:rFonts w:ascii="Calibri" w:hAnsi="Calibri" w:cs="Calibri"/>
        <w:sz w:val="20"/>
        <w:szCs w:val="20"/>
      </w:rPr>
      <w:t>8</w:t>
    </w:r>
    <w:r w:rsidRPr="00EC35AC">
      <w:rPr>
        <w:rFonts w:ascii="Calibri" w:hAnsi="Calibri" w:cs="Calibri"/>
        <w:sz w:val="20"/>
        <w:szCs w:val="20"/>
      </w:rPr>
      <w:t>.202</w:t>
    </w:r>
    <w:r w:rsidR="00C65792">
      <w:rPr>
        <w:rFonts w:ascii="Calibri" w:hAnsi="Calibri" w:cs="Calibri"/>
        <w:sz w:val="20"/>
        <w:szCs w:val="20"/>
      </w:rPr>
      <w:t>3</w:t>
    </w:r>
    <w:r>
      <w:rPr>
        <w:sz w:val="20"/>
        <w:szCs w:val="20"/>
      </w:rPr>
      <w:tab/>
    </w:r>
    <w:r>
      <w:rPr>
        <w:sz w:val="20"/>
        <w:szCs w:val="20"/>
      </w:rPr>
      <w:tab/>
    </w:r>
    <w:r w:rsidRPr="00EC35AC">
      <w:rPr>
        <w:rFonts w:ascii="Calibri" w:hAnsi="Calibri" w:cs="Calibri"/>
        <w:sz w:val="20"/>
        <w:szCs w:val="20"/>
      </w:rPr>
      <w:t xml:space="preserve">Załącznik nr </w:t>
    </w:r>
    <w:r w:rsidR="00982265">
      <w:rPr>
        <w:rFonts w:ascii="Calibri" w:hAnsi="Calibri" w:cs="Calibri"/>
        <w:sz w:val="20"/>
        <w:szCs w:val="20"/>
      </w:rPr>
      <w:t>1</w:t>
    </w:r>
    <w:r w:rsidR="008863FF">
      <w:rPr>
        <w:rFonts w:ascii="Calibri" w:hAnsi="Calibri" w:cs="Calibri"/>
        <w:sz w:val="20"/>
        <w:szCs w:val="20"/>
      </w:rPr>
      <w:t>4</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61"/>
    <w:multiLevelType w:val="hybridMultilevel"/>
    <w:tmpl w:val="ACD4E046"/>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4"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1"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7"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4"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10"/>
  </w:num>
  <w:num w:numId="2" w16cid:durableId="1611275577">
    <w:abstractNumId w:val="15"/>
  </w:num>
  <w:num w:numId="3" w16cid:durableId="45030017">
    <w:abstractNumId w:val="30"/>
  </w:num>
  <w:num w:numId="4" w16cid:durableId="810288698">
    <w:abstractNumId w:val="3"/>
  </w:num>
  <w:num w:numId="5" w16cid:durableId="1484158877">
    <w:abstractNumId w:val="34"/>
  </w:num>
  <w:num w:numId="6" w16cid:durableId="108553389">
    <w:abstractNumId w:val="5"/>
  </w:num>
  <w:num w:numId="7" w16cid:durableId="459997320">
    <w:abstractNumId w:val="12"/>
  </w:num>
  <w:num w:numId="8" w16cid:durableId="1306735736">
    <w:abstractNumId w:val="8"/>
  </w:num>
  <w:num w:numId="9" w16cid:durableId="1083719979">
    <w:abstractNumId w:val="2"/>
  </w:num>
  <w:num w:numId="10" w16cid:durableId="745616028">
    <w:abstractNumId w:val="19"/>
  </w:num>
  <w:num w:numId="11" w16cid:durableId="1851215276">
    <w:abstractNumId w:val="7"/>
  </w:num>
  <w:num w:numId="12" w16cid:durableId="119030344">
    <w:abstractNumId w:val="6"/>
  </w:num>
  <w:num w:numId="13" w16cid:durableId="267006014">
    <w:abstractNumId w:val="33"/>
  </w:num>
  <w:num w:numId="14" w16cid:durableId="932396132">
    <w:abstractNumId w:val="32"/>
  </w:num>
  <w:num w:numId="15" w16cid:durableId="1568999926">
    <w:abstractNumId w:val="21"/>
  </w:num>
  <w:num w:numId="16" w16cid:durableId="1610355786">
    <w:abstractNumId w:val="24"/>
  </w:num>
  <w:num w:numId="17" w16cid:durableId="1244681764">
    <w:abstractNumId w:val="16"/>
  </w:num>
  <w:num w:numId="18" w16cid:durableId="1179347827">
    <w:abstractNumId w:val="27"/>
  </w:num>
  <w:num w:numId="19" w16cid:durableId="1943293892">
    <w:abstractNumId w:val="28"/>
  </w:num>
  <w:num w:numId="20" w16cid:durableId="460004230">
    <w:abstractNumId w:val="14"/>
  </w:num>
  <w:num w:numId="21" w16cid:durableId="391003212">
    <w:abstractNumId w:val="4"/>
  </w:num>
  <w:num w:numId="22" w16cid:durableId="578246154">
    <w:abstractNumId w:val="9"/>
  </w:num>
  <w:num w:numId="23" w16cid:durableId="515314991">
    <w:abstractNumId w:val="18"/>
  </w:num>
  <w:num w:numId="24" w16cid:durableId="1305739806">
    <w:abstractNumId w:val="29"/>
  </w:num>
  <w:num w:numId="25" w16cid:durableId="88695813">
    <w:abstractNumId w:val="26"/>
  </w:num>
  <w:num w:numId="26" w16cid:durableId="1877042375">
    <w:abstractNumId w:val="23"/>
  </w:num>
  <w:num w:numId="27" w16cid:durableId="1886670945">
    <w:abstractNumId w:val="22"/>
  </w:num>
  <w:num w:numId="28" w16cid:durableId="790368915">
    <w:abstractNumId w:val="17"/>
  </w:num>
  <w:num w:numId="29" w16cid:durableId="2117288126">
    <w:abstractNumId w:val="11"/>
  </w:num>
  <w:num w:numId="30" w16cid:durableId="1742680159">
    <w:abstractNumId w:val="25"/>
  </w:num>
  <w:num w:numId="31" w16cid:durableId="265697989">
    <w:abstractNumId w:val="20"/>
  </w:num>
  <w:num w:numId="32" w16cid:durableId="630749396">
    <w:abstractNumId w:val="13"/>
  </w:num>
  <w:num w:numId="33" w16cid:durableId="122504299">
    <w:abstractNumId w:val="1"/>
  </w:num>
  <w:num w:numId="34" w16cid:durableId="1488784025">
    <w:abstractNumId w:val="31"/>
  </w:num>
  <w:num w:numId="35" w16cid:durableId="63113852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031AB"/>
    <w:rsid w:val="00013B75"/>
    <w:rsid w:val="00047C92"/>
    <w:rsid w:val="00055409"/>
    <w:rsid w:val="00057A4A"/>
    <w:rsid w:val="000A1202"/>
    <w:rsid w:val="000B15F9"/>
    <w:rsid w:val="001579B5"/>
    <w:rsid w:val="0017403A"/>
    <w:rsid w:val="00175A34"/>
    <w:rsid w:val="001D6FB9"/>
    <w:rsid w:val="00267E17"/>
    <w:rsid w:val="00297E91"/>
    <w:rsid w:val="002D0336"/>
    <w:rsid w:val="00303C90"/>
    <w:rsid w:val="0032101A"/>
    <w:rsid w:val="00344396"/>
    <w:rsid w:val="0034672C"/>
    <w:rsid w:val="00377F0B"/>
    <w:rsid w:val="003A58C9"/>
    <w:rsid w:val="003B56C0"/>
    <w:rsid w:val="003C4B49"/>
    <w:rsid w:val="003F7368"/>
    <w:rsid w:val="00411577"/>
    <w:rsid w:val="00464C34"/>
    <w:rsid w:val="00473335"/>
    <w:rsid w:val="004C0A0B"/>
    <w:rsid w:val="004E0884"/>
    <w:rsid w:val="005167B2"/>
    <w:rsid w:val="00583F5C"/>
    <w:rsid w:val="005863D6"/>
    <w:rsid w:val="00595D5F"/>
    <w:rsid w:val="00694A78"/>
    <w:rsid w:val="00696E30"/>
    <w:rsid w:val="006A2D8A"/>
    <w:rsid w:val="0074137C"/>
    <w:rsid w:val="0077316A"/>
    <w:rsid w:val="007C526D"/>
    <w:rsid w:val="007E644B"/>
    <w:rsid w:val="007F29CB"/>
    <w:rsid w:val="0081613D"/>
    <w:rsid w:val="00847BD9"/>
    <w:rsid w:val="00852377"/>
    <w:rsid w:val="00881433"/>
    <w:rsid w:val="008863FF"/>
    <w:rsid w:val="008A564E"/>
    <w:rsid w:val="008F5CDF"/>
    <w:rsid w:val="009109CA"/>
    <w:rsid w:val="00982265"/>
    <w:rsid w:val="00997865"/>
    <w:rsid w:val="00A617BC"/>
    <w:rsid w:val="00A64C76"/>
    <w:rsid w:val="00A7315A"/>
    <w:rsid w:val="00A82312"/>
    <w:rsid w:val="00A92717"/>
    <w:rsid w:val="00AB6DBE"/>
    <w:rsid w:val="00AD57D0"/>
    <w:rsid w:val="00AD6236"/>
    <w:rsid w:val="00B03E04"/>
    <w:rsid w:val="00B2683A"/>
    <w:rsid w:val="00B336BA"/>
    <w:rsid w:val="00B51F8D"/>
    <w:rsid w:val="00B70CFA"/>
    <w:rsid w:val="00B92C1E"/>
    <w:rsid w:val="00BA1356"/>
    <w:rsid w:val="00BA6A2B"/>
    <w:rsid w:val="00BC7106"/>
    <w:rsid w:val="00C478CA"/>
    <w:rsid w:val="00C56B7C"/>
    <w:rsid w:val="00C56E83"/>
    <w:rsid w:val="00C65792"/>
    <w:rsid w:val="00C724FD"/>
    <w:rsid w:val="00C95CF4"/>
    <w:rsid w:val="00CB3753"/>
    <w:rsid w:val="00D15265"/>
    <w:rsid w:val="00D52C76"/>
    <w:rsid w:val="00D95D9B"/>
    <w:rsid w:val="00D9729C"/>
    <w:rsid w:val="00DE657B"/>
    <w:rsid w:val="00DF4F9B"/>
    <w:rsid w:val="00DF6A62"/>
    <w:rsid w:val="00E568B2"/>
    <w:rsid w:val="00E70E1E"/>
    <w:rsid w:val="00E752EC"/>
    <w:rsid w:val="00EA4120"/>
    <w:rsid w:val="00F07F2A"/>
    <w:rsid w:val="00F216E4"/>
    <w:rsid w:val="00F25695"/>
    <w:rsid w:val="00F25CCD"/>
    <w:rsid w:val="00F94CD6"/>
    <w:rsid w:val="00FB6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895</Words>
  <Characters>5371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32</cp:revision>
  <dcterms:created xsi:type="dcterms:W3CDTF">2022-05-11T10:05:00Z</dcterms:created>
  <dcterms:modified xsi:type="dcterms:W3CDTF">2023-10-18T19:09:00Z</dcterms:modified>
</cp:coreProperties>
</file>