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C4" w:rsidRDefault="003D79D3" w:rsidP="003D79D3">
      <w:pPr>
        <w:tabs>
          <w:tab w:val="left" w:pos="275"/>
          <w:tab w:val="right" w:pos="9406"/>
        </w:tabs>
        <w:rPr>
          <w:rFonts w:ascii="Times New Roman" w:eastAsia="Times New Roman" w:hAnsi="Times New Roman" w:cs="Times New Roman"/>
        </w:rPr>
      </w:pPr>
      <w:r>
        <w:rPr>
          <w:rFonts w:ascii="Times New Roman" w:hAnsi="Times New Roman"/>
        </w:rPr>
        <w:tab/>
      </w:r>
      <w:r w:rsidRPr="00F93B80">
        <w:rPr>
          <w:rFonts w:cs="Tahoma"/>
          <w:iCs/>
          <w:sz w:val="20"/>
          <w:szCs w:val="20"/>
        </w:rPr>
        <w:t>III.242.</w:t>
      </w:r>
      <w:r>
        <w:rPr>
          <w:rFonts w:cs="Tahoma"/>
          <w:iCs/>
          <w:sz w:val="20"/>
          <w:szCs w:val="20"/>
        </w:rPr>
        <w:t>24.2022</w:t>
      </w:r>
      <w:r>
        <w:rPr>
          <w:sz w:val="21"/>
          <w:szCs w:val="21"/>
        </w:rPr>
        <w:tab/>
      </w:r>
      <w:r w:rsidR="00764C36">
        <w:rPr>
          <w:rFonts w:ascii="Times New Roman" w:hAnsi="Times New Roman"/>
        </w:rPr>
        <w:t>Załącznik nr 3</w:t>
      </w:r>
    </w:p>
    <w:p w:rsidR="0029207A" w:rsidRDefault="0029207A">
      <w:pPr>
        <w:jc w:val="center"/>
        <w:rPr>
          <w:rFonts w:ascii="Times New Roman" w:hAnsi="Times New Roman"/>
          <w:b/>
          <w:bCs/>
          <w:sz w:val="28"/>
          <w:szCs w:val="28"/>
        </w:rPr>
      </w:pPr>
    </w:p>
    <w:p w:rsidR="00CC5AC4" w:rsidRDefault="00764C36">
      <w:pPr>
        <w:jc w:val="center"/>
        <w:rPr>
          <w:rFonts w:ascii="Times New Roman" w:eastAsia="Times New Roman" w:hAnsi="Times New Roman" w:cs="Times New Roman"/>
          <w:b/>
          <w:bCs/>
          <w:sz w:val="28"/>
          <w:szCs w:val="28"/>
        </w:rPr>
      </w:pPr>
      <w:r>
        <w:rPr>
          <w:rFonts w:ascii="Times New Roman" w:hAnsi="Times New Roman"/>
          <w:b/>
          <w:bCs/>
          <w:sz w:val="28"/>
          <w:szCs w:val="28"/>
        </w:rPr>
        <w:t>Specyfikacja techniczna</w:t>
      </w:r>
    </w:p>
    <w:p w:rsidR="00CC5AC4" w:rsidRDefault="00CC5AC4">
      <w:pPr>
        <w:rPr>
          <w:rFonts w:ascii="Arial" w:eastAsia="Arial" w:hAnsi="Arial" w:cs="Arial"/>
          <w:b/>
          <w:bCs/>
          <w:sz w:val="20"/>
          <w:szCs w:val="20"/>
        </w:rPr>
      </w:pPr>
    </w:p>
    <w:p w:rsidR="00CC5AC4" w:rsidRDefault="00764C36" w:rsidP="009E59E7">
      <w:pPr>
        <w:spacing w:after="0" w:line="252" w:lineRule="auto"/>
        <w:jc w:val="both"/>
        <w:rPr>
          <w:rFonts w:ascii="Arial" w:hAnsi="Arial"/>
          <w:b/>
          <w:bCs/>
          <w:sz w:val="20"/>
          <w:szCs w:val="20"/>
        </w:rPr>
      </w:pPr>
      <w:bookmarkStart w:id="0" w:name="_GoBack"/>
      <w:bookmarkEnd w:id="0"/>
      <w:r>
        <w:rPr>
          <w:rFonts w:ascii="Arial" w:hAnsi="Arial"/>
          <w:b/>
          <w:bCs/>
          <w:sz w:val="20"/>
          <w:szCs w:val="20"/>
        </w:rPr>
        <w:t xml:space="preserve">Przedmiotem </w:t>
      </w:r>
      <w:proofErr w:type="spellStart"/>
      <w:r>
        <w:rPr>
          <w:rFonts w:ascii="Arial" w:hAnsi="Arial"/>
          <w:b/>
          <w:bCs/>
          <w:sz w:val="20"/>
          <w:szCs w:val="20"/>
        </w:rPr>
        <w:t>zam</w:t>
      </w:r>
      <w:proofErr w:type="spellEnd"/>
      <w:r>
        <w:rPr>
          <w:rFonts w:ascii="Arial" w:hAnsi="Arial"/>
          <w:b/>
          <w:bCs/>
          <w:sz w:val="20"/>
          <w:szCs w:val="20"/>
          <w:lang w:val="es-ES_tradnl"/>
        </w:rPr>
        <w:t>ó</w:t>
      </w:r>
      <w:proofErr w:type="spellStart"/>
      <w:r>
        <w:rPr>
          <w:rFonts w:ascii="Arial" w:hAnsi="Arial"/>
          <w:b/>
          <w:bCs/>
          <w:sz w:val="20"/>
          <w:szCs w:val="20"/>
        </w:rPr>
        <w:t>wienia</w:t>
      </w:r>
      <w:proofErr w:type="spellEnd"/>
      <w:r>
        <w:rPr>
          <w:rFonts w:ascii="Arial" w:hAnsi="Arial"/>
          <w:b/>
          <w:bCs/>
          <w:sz w:val="20"/>
          <w:szCs w:val="20"/>
        </w:rPr>
        <w:t xml:space="preserve"> jest dostawa kamer</w:t>
      </w:r>
      <w:r w:rsidR="00A6712C">
        <w:rPr>
          <w:rFonts w:ascii="Arial" w:hAnsi="Arial"/>
          <w:b/>
          <w:bCs/>
          <w:sz w:val="20"/>
          <w:szCs w:val="20"/>
        </w:rPr>
        <w:t>y</w:t>
      </w:r>
      <w:r>
        <w:rPr>
          <w:rFonts w:ascii="Arial" w:hAnsi="Arial"/>
          <w:b/>
          <w:bCs/>
          <w:sz w:val="20"/>
          <w:szCs w:val="20"/>
        </w:rPr>
        <w:t xml:space="preserve"> video w ramach projektu „Zdolni z Pomorza” współfinansowanego ze </w:t>
      </w:r>
      <w:proofErr w:type="spellStart"/>
      <w:r>
        <w:rPr>
          <w:rFonts w:ascii="Arial" w:hAnsi="Arial"/>
          <w:b/>
          <w:bCs/>
          <w:sz w:val="20"/>
          <w:szCs w:val="20"/>
        </w:rPr>
        <w:t>środk</w:t>
      </w:r>
      <w:proofErr w:type="spellEnd"/>
      <w:r>
        <w:rPr>
          <w:rFonts w:ascii="Arial" w:hAnsi="Arial"/>
          <w:b/>
          <w:bCs/>
          <w:sz w:val="20"/>
          <w:szCs w:val="20"/>
          <w:lang w:val="es-ES_tradnl"/>
        </w:rPr>
        <w:t>ó</w:t>
      </w:r>
      <w:r>
        <w:rPr>
          <w:rFonts w:ascii="Arial" w:hAnsi="Arial"/>
          <w:b/>
          <w:bCs/>
          <w:sz w:val="20"/>
          <w:szCs w:val="20"/>
        </w:rPr>
        <w:t xml:space="preserve">w Unii Europejskiej w ramach Regionalnego Programu Operacyjnego </w:t>
      </w:r>
      <w:proofErr w:type="spellStart"/>
      <w:r>
        <w:rPr>
          <w:rFonts w:ascii="Arial" w:hAnsi="Arial"/>
          <w:b/>
          <w:bCs/>
          <w:sz w:val="20"/>
          <w:szCs w:val="20"/>
        </w:rPr>
        <w:t>Wojew</w:t>
      </w:r>
      <w:proofErr w:type="spellEnd"/>
      <w:r>
        <w:rPr>
          <w:rFonts w:ascii="Arial" w:hAnsi="Arial"/>
          <w:b/>
          <w:bCs/>
          <w:sz w:val="20"/>
          <w:szCs w:val="20"/>
          <w:lang w:val="es-ES_tradnl"/>
        </w:rPr>
        <w:t>ó</w:t>
      </w:r>
      <w:proofErr w:type="spellStart"/>
      <w:r>
        <w:rPr>
          <w:rFonts w:ascii="Arial" w:hAnsi="Arial"/>
          <w:b/>
          <w:bCs/>
          <w:sz w:val="20"/>
          <w:szCs w:val="20"/>
        </w:rPr>
        <w:t>dztwa</w:t>
      </w:r>
      <w:proofErr w:type="spellEnd"/>
      <w:r>
        <w:rPr>
          <w:rFonts w:ascii="Arial" w:hAnsi="Arial"/>
          <w:b/>
          <w:bCs/>
          <w:sz w:val="20"/>
          <w:szCs w:val="20"/>
        </w:rPr>
        <w:t xml:space="preserve"> Pomorskiego na lata 2014-2020,</w:t>
      </w:r>
      <w:r>
        <w:rPr>
          <w:rFonts w:ascii="Arial" w:hAnsi="Arial"/>
          <w:sz w:val="20"/>
          <w:szCs w:val="20"/>
        </w:rPr>
        <w:t xml:space="preserve"> </w:t>
      </w:r>
      <w:r>
        <w:rPr>
          <w:rFonts w:ascii="Arial" w:hAnsi="Arial"/>
          <w:b/>
          <w:bCs/>
          <w:sz w:val="20"/>
          <w:szCs w:val="20"/>
        </w:rPr>
        <w:t>na potrzeby</w:t>
      </w:r>
      <w:r w:rsidR="003352B6">
        <w:rPr>
          <w:rFonts w:ascii="Arial" w:hAnsi="Arial"/>
          <w:b/>
          <w:bCs/>
          <w:sz w:val="20"/>
          <w:szCs w:val="20"/>
        </w:rPr>
        <w:t xml:space="preserve"> Pomorskiego</w:t>
      </w:r>
      <w:r>
        <w:rPr>
          <w:rFonts w:ascii="Arial" w:hAnsi="Arial"/>
          <w:b/>
          <w:bCs/>
          <w:sz w:val="20"/>
          <w:szCs w:val="20"/>
        </w:rPr>
        <w:t xml:space="preserve"> Centrum Edukacji Nauczycieli w Gdańsku.</w:t>
      </w:r>
    </w:p>
    <w:p w:rsidR="00CC5AC4" w:rsidRDefault="00CC5AC4">
      <w:pPr>
        <w:spacing w:after="0"/>
        <w:jc w:val="center"/>
        <w:rPr>
          <w:rFonts w:ascii="Arial" w:eastAsia="Arial" w:hAnsi="Arial" w:cs="Arial"/>
          <w:b/>
          <w:bCs/>
          <w:sz w:val="20"/>
          <w:szCs w:val="20"/>
        </w:rPr>
      </w:pPr>
    </w:p>
    <w:p w:rsidR="00CC5AC4" w:rsidRDefault="00CC5AC4">
      <w:pPr>
        <w:spacing w:after="0"/>
        <w:jc w:val="center"/>
        <w:rPr>
          <w:rFonts w:ascii="Arial" w:eastAsia="Arial" w:hAnsi="Arial" w:cs="Arial"/>
          <w:b/>
          <w:bCs/>
          <w:sz w:val="20"/>
          <w:szCs w:val="20"/>
        </w:rPr>
      </w:pPr>
    </w:p>
    <w:p w:rsidR="00CC5AC4" w:rsidRDefault="00764C36">
      <w:pPr>
        <w:spacing w:after="0" w:line="240" w:lineRule="auto"/>
      </w:pPr>
      <w:r>
        <w:t xml:space="preserve">Kamera studyjna do nagrywania materiału w rozdzielczości do 4K – </w:t>
      </w:r>
      <w:r w:rsidR="0029207A">
        <w:t>1</w:t>
      </w:r>
      <w:r>
        <w:t xml:space="preserve"> szt.</w:t>
      </w:r>
    </w:p>
    <w:p w:rsidR="00CC5AC4" w:rsidRDefault="00CC5AC4"/>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2920"/>
        <w:gridCol w:w="2876"/>
      </w:tblGrid>
      <w:tr w:rsidR="00CC5AC4" w:rsidTr="00764C36">
        <w:trPr>
          <w:trHeight w:val="718"/>
        </w:trPr>
        <w:tc>
          <w:tcPr>
            <w:tcW w:w="360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CC5AC4" w:rsidRDefault="00764C36">
            <w:pPr>
              <w:jc w:val="center"/>
            </w:pPr>
            <w:r>
              <w:rPr>
                <w:b/>
                <w:bCs/>
                <w:lang w:val="pt-PT"/>
              </w:rPr>
              <w:t>Parametr</w:t>
            </w:r>
          </w:p>
        </w:tc>
        <w:tc>
          <w:tcPr>
            <w:tcW w:w="292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CC5AC4" w:rsidRDefault="00764C36">
            <w:pPr>
              <w:jc w:val="center"/>
            </w:pPr>
            <w:r>
              <w:rPr>
                <w:b/>
                <w:bCs/>
              </w:rPr>
              <w:t>Wymagania minimalne</w:t>
            </w:r>
          </w:p>
        </w:tc>
        <w:tc>
          <w:tcPr>
            <w:tcW w:w="287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ind w:left="-70"/>
              <w:jc w:val="center"/>
              <w:rPr>
                <w:rFonts w:ascii="Arial" w:hAnsi="Arial" w:cs="Arial"/>
                <w:b/>
              </w:rPr>
            </w:pPr>
            <w:r>
              <w:rPr>
                <w:rFonts w:ascii="Arial" w:hAnsi="Arial" w:cs="Arial"/>
                <w:b/>
              </w:rPr>
              <w:t>PARATMETR OFEROWANY</w:t>
            </w:r>
          </w:p>
          <w:p w:rsidR="00CC5AC4" w:rsidRDefault="00764C36" w:rsidP="00764C36">
            <w:pPr>
              <w:jc w:val="center"/>
            </w:pPr>
            <w:r>
              <w:rPr>
                <w:rFonts w:ascii="Arial" w:hAnsi="Arial" w:cs="Arial"/>
                <w:b/>
              </w:rPr>
              <w:t>(WYPEŁNIA WYKONAWCA)</w:t>
            </w:r>
          </w:p>
        </w:tc>
      </w:tr>
      <w:tr w:rsidR="00764C36" w:rsidTr="00764C36">
        <w:trPr>
          <w:trHeight w:val="718"/>
        </w:trPr>
        <w:tc>
          <w:tcPr>
            <w:tcW w:w="360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pStyle w:val="Styltabeli1"/>
              <w:rPr>
                <w:rFonts w:eastAsia="Arial Unicode MS" w:cs="Arial Unicode MS" w:hint="eastAsia"/>
              </w:rPr>
            </w:pPr>
            <w:r>
              <w:rPr>
                <w:rFonts w:eastAsia="Arial Unicode MS" w:cs="Arial Unicode MS"/>
              </w:rPr>
              <w:t>TYP</w:t>
            </w:r>
          </w:p>
        </w:tc>
        <w:tc>
          <w:tcPr>
            <w:tcW w:w="292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pStyle w:val="Styltabeli1"/>
              <w:rPr>
                <w:rFonts w:eastAsia="Arial Unicode MS" w:cs="Arial Unicode MS" w:hint="eastAsia"/>
              </w:rPr>
            </w:pPr>
            <w:r>
              <w:rPr>
                <w:rFonts w:eastAsia="Arial Unicode MS" w:cs="Arial Unicode MS"/>
              </w:rPr>
              <w:t>„</w:t>
            </w:r>
            <w:r>
              <w:t>Kamera studyjna do nagrywania materiału w rozdzielczości do 4K</w:t>
            </w:r>
            <w:r>
              <w:rPr>
                <w:rFonts w:eastAsia="Arial Unicode MS" w:cs="Arial Unicode MS"/>
              </w:rPr>
              <w:t>”</w:t>
            </w:r>
          </w:p>
          <w:p w:rsidR="00764C36" w:rsidRDefault="00764C36" w:rsidP="00764C36">
            <w:pPr>
              <w:pStyle w:val="Styltabeli1"/>
              <w:rPr>
                <w:rFonts w:eastAsia="Arial Unicode MS" w:cs="Arial Unicode MS" w:hint="eastAsia"/>
              </w:rPr>
            </w:pPr>
            <w:r>
              <w:rPr>
                <w:rFonts w:eastAsia="Arial Unicode MS" w:cs="Arial Unicode MS"/>
              </w:rPr>
              <w:t>W ofercie wymagane jest podanie modelu, symbolu oraz producenta</w:t>
            </w:r>
          </w:p>
        </w:tc>
        <w:tc>
          <w:tcPr>
            <w:tcW w:w="287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ind w:left="-70"/>
              <w:rPr>
                <w:rFonts w:ascii="Arial" w:hAnsi="Arial" w:cs="Arial"/>
                <w:b/>
              </w:rPr>
            </w:pPr>
          </w:p>
        </w:tc>
      </w:tr>
      <w:tr w:rsidR="00CC5AC4">
        <w:trPr>
          <w:trHeight w:val="513"/>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Efektywna liczba pikseli - tryb kamera [mln]:</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14.2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Rozmiar matrycy: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en-US"/>
              </w:rPr>
              <w:t xml:space="preserve">1 </w:t>
            </w:r>
            <w:proofErr w:type="spellStart"/>
            <w:r>
              <w:rPr>
                <w:lang w:val="en-US"/>
              </w:rPr>
              <w:t>cal</w:t>
            </w:r>
            <w:proofErr w:type="spellEnd"/>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Rozdzielczość:</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3840 x 2160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Typ matrycy: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pt-PT"/>
              </w:rPr>
              <w:t>CMOS</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Nośnik danych - na film:</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karta pamięci SDXC, SDHC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513"/>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Ogniskowa ob. kamery (ekwiwalent 35mm) [mm]:</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29,0–</w:t>
            </w:r>
            <w:r>
              <w:rPr>
                <w:lang w:val="en-US"/>
              </w:rPr>
              <w:t>348,0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lastRenderedPageBreak/>
              <w:t>Jasność obiektywu [f/]:</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F2,8 – F4,5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Średnica filtra [mm]:</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M62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Zoom optyczny: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12x</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Rozmiar LCD [cale]: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rsidTr="00764C36">
        <w:trPr>
          <w:trHeight w:val="1269"/>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LCD:</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pPr>
              <w:spacing w:line="72" w:lineRule="auto"/>
              <w:rPr>
                <w:sz w:val="20"/>
                <w:szCs w:val="20"/>
              </w:rPr>
            </w:pPr>
            <w:r>
              <w:rPr>
                <w:sz w:val="20"/>
                <w:szCs w:val="20"/>
              </w:rPr>
              <w:t>8,8 cm (typ 3,5”)</w:t>
            </w:r>
          </w:p>
          <w:p w:rsidR="00CC5AC4" w:rsidRDefault="00764C36">
            <w:r>
              <w:rPr>
                <w:sz w:val="20"/>
                <w:szCs w:val="20"/>
              </w:rPr>
              <w:t>Około 1,56 mln pikseli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486"/>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Wizjer:</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pPr>
              <w:pStyle w:val="Domylne"/>
              <w:spacing w:before="0" w:line="240" w:lineRule="auto"/>
              <w:rPr>
                <w:rFonts w:ascii="Calibri" w:eastAsia="Calibri" w:hAnsi="Calibri" w:cs="Calibri"/>
                <w:sz w:val="20"/>
                <w:szCs w:val="20"/>
              </w:rPr>
            </w:pPr>
            <w:r>
              <w:rPr>
                <w:rFonts w:ascii="Calibri" w:hAnsi="Calibri"/>
                <w:sz w:val="20"/>
                <w:szCs w:val="20"/>
              </w:rPr>
              <w:t>1,0 cm (</w:t>
            </w:r>
            <w:proofErr w:type="spellStart"/>
            <w:r>
              <w:rPr>
                <w:rFonts w:ascii="Calibri" w:hAnsi="Calibri"/>
                <w:sz w:val="20"/>
                <w:szCs w:val="20"/>
              </w:rPr>
              <w:t>typ</w:t>
            </w:r>
            <w:proofErr w:type="spellEnd"/>
            <w:r>
              <w:rPr>
                <w:rFonts w:ascii="Calibri" w:hAnsi="Calibri"/>
                <w:sz w:val="20"/>
                <w:szCs w:val="20"/>
              </w:rPr>
              <w:t xml:space="preserve"> 0,39"), OLED</w:t>
            </w:r>
          </w:p>
          <w:p w:rsidR="00CC5AC4" w:rsidRDefault="00764C36">
            <w:pPr>
              <w:pStyle w:val="Domylne"/>
              <w:spacing w:before="0" w:line="240" w:lineRule="auto"/>
              <w:rPr>
                <w:rFonts w:hint="eastAsia"/>
              </w:rPr>
            </w:pPr>
            <w:proofErr w:type="spellStart"/>
            <w:r>
              <w:rPr>
                <w:rFonts w:ascii="Calibri" w:hAnsi="Calibri"/>
                <w:sz w:val="20"/>
                <w:szCs w:val="20"/>
              </w:rPr>
              <w:t>Około</w:t>
            </w:r>
            <w:proofErr w:type="spellEnd"/>
            <w:r>
              <w:rPr>
                <w:rFonts w:ascii="Calibri" w:hAnsi="Calibri"/>
                <w:sz w:val="20"/>
                <w:szCs w:val="20"/>
              </w:rPr>
              <w:t xml:space="preserve"> 2,36 </w:t>
            </w:r>
            <w:proofErr w:type="spellStart"/>
            <w:r>
              <w:rPr>
                <w:rFonts w:ascii="Calibri" w:hAnsi="Calibri"/>
                <w:sz w:val="20"/>
                <w:szCs w:val="20"/>
              </w:rPr>
              <w:t>mln</w:t>
            </w:r>
            <w:proofErr w:type="spellEnd"/>
            <w:r>
              <w:rPr>
                <w:rFonts w:ascii="Calibri" w:hAnsi="Calibri"/>
                <w:sz w:val="20"/>
                <w:szCs w:val="20"/>
              </w:rPr>
              <w:t xml:space="preserve"> </w:t>
            </w:r>
            <w:proofErr w:type="spellStart"/>
            <w:r>
              <w:rPr>
                <w:rFonts w:ascii="Calibri" w:hAnsi="Calibri"/>
                <w:sz w:val="20"/>
                <w:szCs w:val="20"/>
              </w:rPr>
              <w:t>pikseli</w:t>
            </w:r>
            <w:proofErr w:type="spellEnd"/>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Ekran dotykowy: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29207A">
            <w:r>
              <w:t>N</w:t>
            </w:r>
            <w:r w:rsidR="00764C36">
              <w:t>ie</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74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Wyjście SDI:</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pPr>
              <w:spacing w:line="240" w:lineRule="auto"/>
            </w:pPr>
            <w:r>
              <w:t>BNC (x1), 3G/HD/SD Standardy SMPTE 424M/292M/259M</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de-DE"/>
              </w:rPr>
              <w:t>Autofokus: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29207A">
            <w:r>
              <w:t>T</w:t>
            </w:r>
            <w:r w:rsidR="00764C36">
              <w:t>ak</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805"/>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Wejście audio:</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3-stykowe XLR (żeńskie) (x2), Line/</w:t>
            </w:r>
            <w:proofErr w:type="spellStart"/>
            <w:r>
              <w:t>Mic</w:t>
            </w:r>
            <w:proofErr w:type="spellEnd"/>
            <w:r>
              <w:t>/</w:t>
            </w:r>
            <w:proofErr w:type="spellStart"/>
            <w:r>
              <w:t>Mic</w:t>
            </w:r>
            <w:proofErr w:type="spellEnd"/>
            <w:r>
              <w:t xml:space="preserve"> +48 V z możliwością wyboru</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Złącza:</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fr-FR"/>
              </w:rPr>
              <w:t>Multi/Micro USB (x1)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HDMI:</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typu A</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de-DE"/>
              </w:rPr>
              <w:t>Wi-Fi:</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en-US"/>
              </w:rPr>
              <w:t>IEEE 802.11 a/b/g/n/ac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805"/>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 xml:space="preserve">Waga nie większa niż </w:t>
            </w:r>
            <w:r>
              <w:rPr>
                <w:lang w:val="pt-PT"/>
              </w:rPr>
              <w:t>[g]:</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 xml:space="preserve">2270 g (z osłoną obiektywu, muszlą oczną i akumulatorem NP-F770)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168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lastRenderedPageBreak/>
              <w:t>Wymiary nie większe niż:</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171,3 x 187,8 x 371,3 mm (z akcesoriami (osłoną obiektywu, dużą muszlą oczną), bez paska do trzymania, razem z wystającymi elementami)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bl>
    <w:p w:rsidR="00CC5AC4" w:rsidRDefault="00CC5AC4">
      <w:pPr>
        <w:widowControl w:val="0"/>
        <w:spacing w:line="240" w:lineRule="auto"/>
      </w:pPr>
    </w:p>
    <w:p w:rsidR="003352B6" w:rsidRDefault="003352B6">
      <w:pPr>
        <w:widowControl w:val="0"/>
        <w:spacing w:line="240" w:lineRule="auto"/>
      </w:pPr>
    </w:p>
    <w:p w:rsidR="003352B6" w:rsidRDefault="003352B6">
      <w:pPr>
        <w:widowControl w:val="0"/>
        <w:spacing w:line="240" w:lineRule="auto"/>
      </w:pPr>
    </w:p>
    <w:p w:rsidR="003352B6" w:rsidRPr="001849AF" w:rsidRDefault="003352B6" w:rsidP="003352B6">
      <w:pPr>
        <w:spacing w:after="0" w:line="240" w:lineRule="auto"/>
        <w:ind w:left="1020"/>
        <w:rPr>
          <w:szCs w:val="24"/>
        </w:rPr>
      </w:pPr>
      <w:r>
        <w:br/>
      </w:r>
      <w:r>
        <w:rPr>
          <w:szCs w:val="24"/>
        </w:rPr>
        <w:t>Wykonawca</w:t>
      </w:r>
      <w:r w:rsidRPr="001849AF">
        <w:rPr>
          <w:b/>
          <w:bCs/>
          <w:szCs w:val="24"/>
        </w:rPr>
        <w:t xml:space="preserve"> określa producenta oraz model oferowanego sprzętu . Opis ten musi być na tyle szczegółowy, aby pozwolił jednoznacznie stwierdzić zgodność ofero</w:t>
      </w:r>
      <w:r>
        <w:rPr>
          <w:b/>
          <w:bCs/>
          <w:szCs w:val="24"/>
        </w:rPr>
        <w:t>wanego przez Wykonawcę sprzętu</w:t>
      </w:r>
      <w:r w:rsidRPr="001849AF">
        <w:rPr>
          <w:b/>
          <w:bCs/>
          <w:szCs w:val="24"/>
        </w:rPr>
        <w:t xml:space="preserve"> z wymaganiami Zamawiającego postawionymi w SWZ.</w:t>
      </w:r>
    </w:p>
    <w:p w:rsidR="003352B6" w:rsidRPr="001849AF" w:rsidRDefault="003352B6" w:rsidP="003352B6">
      <w:pPr>
        <w:spacing w:after="0" w:line="240" w:lineRule="auto"/>
        <w:ind w:left="1020"/>
        <w:rPr>
          <w:szCs w:val="24"/>
        </w:rPr>
      </w:pPr>
    </w:p>
    <w:p w:rsidR="003352B6" w:rsidRPr="001849AF" w:rsidRDefault="003352B6" w:rsidP="003352B6">
      <w:pPr>
        <w:spacing w:after="0" w:line="240" w:lineRule="auto"/>
        <w:ind w:left="1020"/>
        <w:rPr>
          <w:szCs w:val="24"/>
        </w:rPr>
      </w:pPr>
      <w:r w:rsidRPr="001849AF">
        <w:rPr>
          <w:szCs w:val="24"/>
        </w:rPr>
        <w:t xml:space="preserve"> W przypadku, gdy w opisie przedmiotu zamówienia podano nazwy produktów </w:t>
      </w:r>
      <w:r w:rsidRPr="001849AF">
        <w:rPr>
          <w:b/>
          <w:bCs/>
          <w:szCs w:val="24"/>
        </w:rPr>
        <w:t>konkretnych producentów to należy traktować to jedynie jako określenie pożądanego standardu i jakości.</w:t>
      </w:r>
      <w:r w:rsidRPr="001849AF">
        <w:rPr>
          <w:szCs w:val="24"/>
        </w:rPr>
        <w:t xml:space="preserve"> We wszystkich takich sytuacjach Wykonawca może zaoferować równoważne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 </w:t>
      </w:r>
    </w:p>
    <w:p w:rsidR="003352B6" w:rsidRPr="001849AF" w:rsidRDefault="003352B6" w:rsidP="003352B6">
      <w:pPr>
        <w:spacing w:after="0" w:line="240" w:lineRule="auto"/>
        <w:ind w:left="1020"/>
        <w:rPr>
          <w:szCs w:val="24"/>
        </w:rPr>
      </w:pPr>
    </w:p>
    <w:p w:rsidR="003352B6" w:rsidRPr="001849AF" w:rsidRDefault="003352B6" w:rsidP="003352B6">
      <w:pPr>
        <w:spacing w:after="0" w:line="240" w:lineRule="auto"/>
        <w:ind w:left="1020"/>
        <w:rPr>
          <w:szCs w:val="24"/>
        </w:rPr>
      </w:pPr>
      <w:r w:rsidRPr="001849AF">
        <w:rPr>
          <w:b/>
          <w:bCs/>
          <w:szCs w:val="24"/>
        </w:rPr>
        <w:t>Wykonawca, który powołuje się na rozwiązania równoważne, jest zobowiązany wykazać, że oferowane przez niego rozwiązanie spełnia wymagania określone przez zamawiającego.</w:t>
      </w:r>
      <w:r w:rsidRPr="001849AF">
        <w:rPr>
          <w:szCs w:val="24"/>
        </w:rPr>
        <w:t xml:space="preserve"> W takim przypadku, wykonawca załącza do oferty wykaz rozwiązań równoważnych wraz z jego opisem lub normami.  </w:t>
      </w:r>
    </w:p>
    <w:p w:rsidR="003352B6" w:rsidRDefault="003352B6" w:rsidP="003352B6">
      <w:pPr>
        <w:pStyle w:val="Tre"/>
        <w:spacing w:line="288" w:lineRule="auto"/>
        <w:rPr>
          <w:rFonts w:ascii="Arial" w:hAnsi="Arial" w:cs="Arial"/>
          <w:b/>
          <w:sz w:val="20"/>
          <w:szCs w:val="20"/>
        </w:rPr>
      </w:pPr>
    </w:p>
    <w:p w:rsidR="003352B6" w:rsidRPr="0018600C" w:rsidRDefault="003352B6" w:rsidP="003352B6">
      <w:pPr>
        <w:pStyle w:val="Tre"/>
        <w:spacing w:line="288" w:lineRule="auto"/>
        <w:rPr>
          <w:rFonts w:hint="eastAsia"/>
          <w:b/>
          <w:bCs/>
          <w:u w:val="single"/>
        </w:rPr>
      </w:pPr>
    </w:p>
    <w:p w:rsidR="003352B6" w:rsidRDefault="003352B6" w:rsidP="003352B6">
      <w:pPr>
        <w:contextualSpacing/>
      </w:pPr>
    </w:p>
    <w:p w:rsidR="003352B6" w:rsidRPr="00356471" w:rsidRDefault="003352B6" w:rsidP="003352B6">
      <w:pPr>
        <w:contextualSpacing/>
      </w:pPr>
      <w:r w:rsidRPr="00356471">
        <w:t xml:space="preserve">Oferta musi zawierać wszystkie koszty włącznie z kosztem dostawy do </w:t>
      </w:r>
      <w:r>
        <w:t>Odbiorcy</w:t>
      </w:r>
      <w:r w:rsidRPr="00356471">
        <w:t>:</w:t>
      </w:r>
    </w:p>
    <w:p w:rsidR="003352B6" w:rsidRPr="00356471" w:rsidRDefault="003352B6" w:rsidP="003352B6">
      <w:pPr>
        <w:contextualSpacing/>
      </w:pPr>
      <w:r>
        <w:rPr>
          <w:szCs w:val="24"/>
        </w:rPr>
        <w:t xml:space="preserve">Pomorskie </w:t>
      </w:r>
      <w:r w:rsidRPr="00356471">
        <w:rPr>
          <w:szCs w:val="24"/>
        </w:rPr>
        <w:t>Centrum Edukacji Nauczycieli w Gdańsku 80-401 Gdańsk Al. Hallera 14</w:t>
      </w:r>
      <w:r w:rsidRPr="00356471">
        <w:rPr>
          <w:szCs w:val="24"/>
        </w:rPr>
        <w:br/>
      </w:r>
    </w:p>
    <w:p w:rsidR="003352B6" w:rsidRDefault="003352B6">
      <w:pPr>
        <w:widowControl w:val="0"/>
        <w:spacing w:line="240" w:lineRule="auto"/>
      </w:pPr>
    </w:p>
    <w:sectPr w:rsidR="003352B6">
      <w:headerReference w:type="default" r:id="rId7"/>
      <w:footerReference w:type="default" r:id="rId8"/>
      <w:pgSz w:w="12240" w:h="15840"/>
      <w:pgMar w:top="1417" w:right="1417" w:bottom="1417" w:left="1417" w:header="737" w:footer="1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AE" w:rsidRDefault="00764C36">
      <w:pPr>
        <w:spacing w:after="0" w:line="240" w:lineRule="auto"/>
      </w:pPr>
      <w:r>
        <w:separator/>
      </w:r>
    </w:p>
  </w:endnote>
  <w:endnote w:type="continuationSeparator" w:id="0">
    <w:p w:rsidR="00DD67AE" w:rsidRDefault="0076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C4" w:rsidRDefault="00CC5AC4">
    <w:pPr>
      <w:pStyle w:val="Stopka"/>
    </w:pPr>
  </w:p>
  <w:p w:rsidR="00CC5AC4" w:rsidRDefault="00764C36">
    <w:pPr>
      <w:pStyle w:val="Stopka"/>
      <w:jc w:val="right"/>
    </w:pPr>
    <w:r>
      <w:fldChar w:fldCharType="begin"/>
    </w:r>
    <w:r>
      <w:instrText xml:space="preserve"> PAGE </w:instrText>
    </w:r>
    <w:r>
      <w:fldChar w:fldCharType="separate"/>
    </w:r>
    <w:r w:rsidR="009E59E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AE" w:rsidRDefault="00764C36">
      <w:pPr>
        <w:spacing w:after="0" w:line="240" w:lineRule="auto"/>
      </w:pPr>
      <w:r>
        <w:separator/>
      </w:r>
    </w:p>
  </w:footnote>
  <w:footnote w:type="continuationSeparator" w:id="0">
    <w:p w:rsidR="00DD67AE" w:rsidRDefault="0076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C4" w:rsidRDefault="00764C36">
    <w:pPr>
      <w:pStyle w:val="Nagwek"/>
      <w:rPr>
        <w:sz w:val="18"/>
        <w:szCs w:val="18"/>
      </w:rPr>
    </w:pPr>
    <w:r>
      <w:rPr>
        <w:noProof/>
        <w:sz w:val="18"/>
        <w:szCs w:val="18"/>
      </w:rPr>
      <w:drawing>
        <wp:anchor distT="152400" distB="152400" distL="152400" distR="152400" simplePos="0" relativeHeight="251658240" behindDoc="1" locked="0" layoutInCell="1" allowOverlap="1">
          <wp:simplePos x="0" y="0"/>
          <wp:positionH relativeFrom="page">
            <wp:posOffset>265429</wp:posOffset>
          </wp:positionH>
          <wp:positionV relativeFrom="page">
            <wp:posOffset>256540</wp:posOffset>
          </wp:positionV>
          <wp:extent cx="7019925" cy="752475"/>
          <wp:effectExtent l="0" t="0" r="0" b="0"/>
          <wp:wrapNone/>
          <wp:docPr id="1073741825" name="officeArt object"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1073741825" name="listownik-mono-Pomorskie-FE-UMWP-UE-EFS-RPO2014-2020-2015-nag" descr="listownik-mono-Pomorskie-FE-UMWP-UE-EFS-RPO2014-2020-2015-nag"/>
                  <pic:cNvPicPr>
                    <a:picLocks noChangeAspect="1"/>
                  </pic:cNvPicPr>
                </pic:nvPicPr>
                <pic:blipFill>
                  <a:blip r:embed="rId1">
                    <a:extLst/>
                  </a:blip>
                  <a:stretch>
                    <a:fillRect/>
                  </a:stretch>
                </pic:blipFill>
                <pic:spPr>
                  <a:xfrm>
                    <a:off x="0" y="0"/>
                    <a:ext cx="7019925" cy="752475"/>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59264" behindDoc="1" locked="0" layoutInCell="1" allowOverlap="1">
          <wp:simplePos x="0" y="0"/>
          <wp:positionH relativeFrom="page">
            <wp:posOffset>265429</wp:posOffset>
          </wp:positionH>
          <wp:positionV relativeFrom="page">
            <wp:posOffset>256540</wp:posOffset>
          </wp:positionV>
          <wp:extent cx="7019925" cy="752475"/>
          <wp:effectExtent l="0" t="0" r="0" b="0"/>
          <wp:wrapNone/>
          <wp:docPr id="1073741826" name="officeArt object"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1073741826" name="listownik-mono-Pomorskie-FE-UMWP-UE-EFS-RPO2014-2020-2015-nag" descr="listownik-mono-Pomorskie-FE-UMWP-UE-EFS-RPO2014-2020-2015-nag"/>
                  <pic:cNvPicPr>
                    <a:picLocks noChangeAspect="1"/>
                  </pic:cNvPicPr>
                </pic:nvPicPr>
                <pic:blipFill>
                  <a:blip r:embed="rId1">
                    <a:extLst/>
                  </a:blip>
                  <a:stretch>
                    <a:fillRect/>
                  </a:stretch>
                </pic:blipFill>
                <pic:spPr>
                  <a:xfrm>
                    <a:off x="0" y="0"/>
                    <a:ext cx="7019925" cy="752475"/>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60288" behindDoc="1" locked="0" layoutInCell="1" allowOverlap="1">
          <wp:simplePos x="0" y="0"/>
          <wp:positionH relativeFrom="page">
            <wp:posOffset>395750</wp:posOffset>
          </wp:positionH>
          <wp:positionV relativeFrom="page">
            <wp:posOffset>9560616</wp:posOffset>
          </wp:positionV>
          <wp:extent cx="7023735" cy="194311"/>
          <wp:effectExtent l="0" t="0" r="0" b="0"/>
          <wp:wrapNone/>
          <wp:docPr id="1073741827" name="officeArt object"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1073741827" name="listownik-mono-Pomorskie-FE-UMWP-UE-EFSI-RPO2014-2020-2015-stop" descr="listownik-mono-Pomorskie-FE-UMWP-UE-EFSI-RPO2014-2020-2015-stop"/>
                  <pic:cNvPicPr>
                    <a:picLocks noChangeAspect="1"/>
                  </pic:cNvPicPr>
                </pic:nvPicPr>
                <pic:blipFill>
                  <a:blip r:embed="rId2">
                    <a:extLst/>
                  </a:blip>
                  <a:stretch>
                    <a:fillRect/>
                  </a:stretch>
                </pic:blipFill>
                <pic:spPr>
                  <a:xfrm>
                    <a:off x="0" y="0"/>
                    <a:ext cx="7023735" cy="194311"/>
                  </a:xfrm>
                  <a:prstGeom prst="rect">
                    <a:avLst/>
                  </a:prstGeom>
                  <a:ln w="12700" cap="flat">
                    <a:noFill/>
                    <a:miter lim="400000"/>
                  </a:ln>
                  <a:effectLst/>
                </pic:spPr>
              </pic:pic>
            </a:graphicData>
          </a:graphic>
        </wp:anchor>
      </w:drawing>
    </w:r>
  </w:p>
  <w:p w:rsidR="00CC5AC4" w:rsidRDefault="00CC5AC4">
    <w:pPr>
      <w:pStyle w:val="Nagwek"/>
      <w:rPr>
        <w:sz w:val="18"/>
        <w:szCs w:val="18"/>
      </w:rPr>
    </w:pPr>
  </w:p>
  <w:p w:rsidR="00CC5AC4" w:rsidRDefault="00CC5AC4">
    <w:pPr>
      <w:pStyle w:val="Nagwek"/>
      <w:rPr>
        <w:sz w:val="18"/>
        <w:szCs w:val="18"/>
      </w:rPr>
    </w:pPr>
  </w:p>
  <w:p w:rsidR="00CC5AC4" w:rsidRDefault="00CC5AC4">
    <w:pPr>
      <w:pStyle w:val="Nagwek"/>
      <w:rPr>
        <w:sz w:val="18"/>
        <w:szCs w:val="18"/>
      </w:rPr>
    </w:pPr>
  </w:p>
  <w:p w:rsidR="00CC5AC4" w:rsidRDefault="00CC5A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B0660"/>
    <w:multiLevelType w:val="hybridMultilevel"/>
    <w:tmpl w:val="799E02AC"/>
    <w:numStyleLink w:val="Zaimportowanystyl1"/>
  </w:abstractNum>
  <w:abstractNum w:abstractNumId="1" w15:restartNumberingAfterBreak="0">
    <w:nsid w:val="58492543"/>
    <w:multiLevelType w:val="hybridMultilevel"/>
    <w:tmpl w:val="799E02AC"/>
    <w:styleLink w:val="Zaimportowanystyl1"/>
    <w:lvl w:ilvl="0" w:tplc="03529DB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A8430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9E9B0A">
      <w:start w:val="1"/>
      <w:numFmt w:val="lowerRoman"/>
      <w:lvlText w:val="%3."/>
      <w:lvlJc w:val="left"/>
      <w:pPr>
        <w:ind w:left="144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CB4C466">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D65B2E">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D650AA">
      <w:start w:val="1"/>
      <w:numFmt w:val="lowerRoman"/>
      <w:lvlText w:val="%6."/>
      <w:lvlJc w:val="left"/>
      <w:pPr>
        <w:ind w:left="36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094E3440">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684EFA">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EED8DE">
      <w:start w:val="1"/>
      <w:numFmt w:val="lowerRoman"/>
      <w:lvlText w:val="%9."/>
      <w:lvlJc w:val="left"/>
      <w:pPr>
        <w:ind w:left="576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C4"/>
    <w:rsid w:val="00101F9D"/>
    <w:rsid w:val="0029207A"/>
    <w:rsid w:val="003352B6"/>
    <w:rsid w:val="003D79D3"/>
    <w:rsid w:val="00617B2E"/>
    <w:rsid w:val="00764C36"/>
    <w:rsid w:val="009E59E7"/>
    <w:rsid w:val="00A6712C"/>
    <w:rsid w:val="00CC5AC4"/>
    <w:rsid w:val="00DD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63053-307E-4AF4-AF78-446D7345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rPr>
  </w:style>
  <w:style w:type="paragraph" w:styleId="Nagwek1">
    <w:name w:val="heading 1"/>
    <w:next w:val="Normalny"/>
    <w:pPr>
      <w:keepNext/>
      <w:keepLines/>
      <w:spacing w:before="240" w:line="276" w:lineRule="auto"/>
      <w:outlineLvl w:val="0"/>
    </w:pPr>
    <w:rPr>
      <w:rFonts w:ascii="Calibri" w:hAnsi="Calibri" w:cs="Arial Unicode MS"/>
      <w:color w:val="2E74B5"/>
      <w:sz w:val="32"/>
      <w:szCs w:val="32"/>
      <w:u w:color="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customStyle="1" w:styleId="Domylne">
    <w:name w:val="Domyślne"/>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Pogrubienie">
    <w:name w:val="Strong"/>
    <w:rPr>
      <w:rFonts w:ascii="Calibri" w:hAnsi="Calibri"/>
      <w:b/>
      <w:bCs/>
    </w:rPr>
  </w:style>
  <w:style w:type="paragraph" w:customStyle="1" w:styleId="TreA">
    <w:name w:val="Treść A"/>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Styltabeli1">
    <w:name w:val="Styl tabeli 1"/>
    <w:rsid w:val="00764C36"/>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re">
    <w:name w:val="Treść"/>
    <w:rsid w:val="003352B6"/>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2461</Characters>
  <Application>Microsoft Office Word</Application>
  <DocSecurity>0</DocSecurity>
  <Lines>98</Lines>
  <Paragraphs>60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Krawiec AD</dc:creator>
  <cp:lastModifiedBy>Lukasz Krawiec AD</cp:lastModifiedBy>
  <cp:revision>4</cp:revision>
  <dcterms:created xsi:type="dcterms:W3CDTF">2022-10-20T10:33:00Z</dcterms:created>
  <dcterms:modified xsi:type="dcterms:W3CDTF">2022-10-20T10:40:00Z</dcterms:modified>
</cp:coreProperties>
</file>