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44B0240F" w:rsidR="00AF53BA" w:rsidRPr="009127BA" w:rsidRDefault="005C1A20" w:rsidP="00BC5FBE">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3862F2">
        <w:rPr>
          <w:rFonts w:asciiTheme="majorHAnsi" w:hAnsiTheme="majorHAnsi"/>
        </w:rPr>
        <w:t>Przebudowa drogi powiatowej nr 4777P w m. Gronówko                                    - Poprawa bezpieczeństwa na drogach powiatowych</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198F430A" w:rsidR="009127BA" w:rsidRPr="00890C11" w:rsidRDefault="001F1B9F" w:rsidP="00304533">
      <w:pPr>
        <w:jc w:val="both"/>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1B24ED">
        <w:rPr>
          <w:rFonts w:asciiTheme="majorHAnsi" w:hAnsiTheme="majorHAnsi"/>
          <w:b/>
          <w:sz w:val="28"/>
          <w:szCs w:val="28"/>
        </w:rPr>
        <w:t xml:space="preserve"> </w:t>
      </w:r>
      <w:r w:rsidR="009127BA" w:rsidRPr="00890C11">
        <w:rPr>
          <w:rFonts w:asciiTheme="majorHAnsi" w:hAnsiTheme="majorHAnsi"/>
        </w:rPr>
        <w:t xml:space="preserve">45233140-2- Roboty </w:t>
      </w:r>
      <w:r w:rsidR="00A2733F" w:rsidRPr="00890C11">
        <w:rPr>
          <w:rFonts w:asciiTheme="majorHAnsi" w:hAnsiTheme="majorHAnsi"/>
        </w:rPr>
        <w:t>drogowe</w:t>
      </w:r>
    </w:p>
    <w:p w14:paraId="39136EF7" w14:textId="10709B1E" w:rsidR="0097369C" w:rsidRPr="00890C11" w:rsidRDefault="0097369C" w:rsidP="00304533">
      <w:pPr>
        <w:pStyle w:val="Akapitzlist"/>
        <w:ind w:left="2268" w:hanging="1559"/>
        <w:jc w:val="both"/>
        <w:rPr>
          <w:rFonts w:ascii="Cambria" w:hAnsi="Cambria" w:cs="Helvetica"/>
        </w:rPr>
      </w:pPr>
      <w:r w:rsidRPr="00890C11">
        <w:rPr>
          <w:rFonts w:ascii="Cambria" w:hAnsi="Cambria" w:cs="Helvetica"/>
        </w:rPr>
        <w:t xml:space="preserve">  45111200-0- Roboty w zakresie przygotowania terenu pod budow</w:t>
      </w:r>
      <w:r w:rsidRPr="00890C11">
        <w:rPr>
          <w:rFonts w:ascii="Cambria" w:hAnsi="Cambria" w:cs="Arial"/>
        </w:rPr>
        <w:t xml:space="preserve">ę </w:t>
      </w:r>
      <w:r w:rsidRPr="00890C11">
        <w:rPr>
          <w:rFonts w:ascii="Cambria" w:hAnsi="Cambria" w:cs="Helvetica"/>
        </w:rPr>
        <w:t>i roboty ziemne</w:t>
      </w:r>
    </w:p>
    <w:p w14:paraId="01EEF2EB" w14:textId="2138558C" w:rsidR="00A87D8B" w:rsidRPr="00890C11" w:rsidRDefault="00890C11" w:rsidP="00890C11">
      <w:pPr>
        <w:ind w:left="851"/>
        <w:jc w:val="both"/>
        <w:rPr>
          <w:rFonts w:ascii="Cambria" w:hAnsi="Cambria"/>
        </w:rPr>
      </w:pPr>
      <w:r w:rsidRPr="00890C11">
        <w:rPr>
          <w:rFonts w:ascii="Cambria" w:hAnsi="Cambria"/>
        </w:rPr>
        <w:t>77211400-6</w:t>
      </w:r>
      <w:r w:rsidRPr="00890C11">
        <w:rPr>
          <w:rFonts w:ascii="Cambria" w:hAnsi="Cambria" w:cs="Helvetica"/>
        </w:rPr>
        <w:t>-</w:t>
      </w:r>
      <w:r w:rsidRPr="00890C11">
        <w:rPr>
          <w:rFonts w:ascii="Cambria" w:hAnsi="Cambria"/>
        </w:rPr>
        <w:t xml:space="preserve"> Usługi wycinania drzew</w:t>
      </w:r>
    </w:p>
    <w:p w14:paraId="39164105" w14:textId="093690EA" w:rsidR="00890C11" w:rsidRPr="00890C11" w:rsidRDefault="00890C11" w:rsidP="00890C11">
      <w:pPr>
        <w:ind w:left="720"/>
        <w:jc w:val="both"/>
        <w:rPr>
          <w:rFonts w:ascii="Cambria" w:hAnsi="Cambria"/>
          <w:bCs/>
        </w:rPr>
      </w:pPr>
      <w:r w:rsidRPr="00890C11">
        <w:rPr>
          <w:rFonts w:ascii="Cambria" w:hAnsi="Cambria"/>
          <w:bCs/>
        </w:rPr>
        <w:t xml:space="preserve">  45232452-5</w:t>
      </w:r>
      <w:r w:rsidRPr="00890C11">
        <w:rPr>
          <w:rFonts w:ascii="Cambria" w:hAnsi="Cambria" w:cs="Helvetica"/>
        </w:rPr>
        <w:t>-</w:t>
      </w:r>
      <w:r w:rsidRPr="00890C11">
        <w:rPr>
          <w:rFonts w:ascii="Cambria" w:hAnsi="Cambria"/>
          <w:bCs/>
        </w:rPr>
        <w:t xml:space="preserve"> Roboty odwadniające</w:t>
      </w:r>
    </w:p>
    <w:p w14:paraId="25C938AE" w14:textId="7EFEAAE2" w:rsidR="00890C11" w:rsidRPr="00890C11" w:rsidRDefault="00890C11" w:rsidP="00890C11">
      <w:pPr>
        <w:ind w:left="720"/>
        <w:jc w:val="both"/>
        <w:rPr>
          <w:rFonts w:ascii="Cambria" w:hAnsi="Cambria"/>
        </w:rPr>
      </w:pPr>
      <w:r w:rsidRPr="00890C11">
        <w:rPr>
          <w:rFonts w:ascii="Cambria" w:hAnsi="Cambria"/>
        </w:rPr>
        <w:t xml:space="preserve">  45233220-7</w:t>
      </w:r>
      <w:r w:rsidRPr="00890C11">
        <w:rPr>
          <w:rFonts w:ascii="Cambria" w:hAnsi="Cambria" w:cs="Helvetica"/>
        </w:rPr>
        <w:t>-</w:t>
      </w:r>
      <w:r w:rsidRPr="00890C11">
        <w:rPr>
          <w:rFonts w:ascii="Cambria" w:hAnsi="Cambria"/>
        </w:rPr>
        <w:t xml:space="preserve"> Roboty w zakresie nawierzchni dróg</w:t>
      </w:r>
    </w:p>
    <w:p w14:paraId="68A71637" w14:textId="61EC1B37" w:rsidR="00890C11" w:rsidRPr="00890C11" w:rsidRDefault="00890C11" w:rsidP="00890C11">
      <w:pPr>
        <w:jc w:val="both"/>
        <w:rPr>
          <w:rFonts w:ascii="Cambria" w:hAnsi="Cambria"/>
        </w:rPr>
      </w:pPr>
      <w:r w:rsidRPr="00890C11">
        <w:rPr>
          <w:rFonts w:ascii="Cambria" w:hAnsi="Cambria"/>
        </w:rPr>
        <w:t xml:space="preserve">                45233290-8- Instalowanie znaków drogowych</w:t>
      </w:r>
    </w:p>
    <w:p w14:paraId="6D0C1ECF" w14:textId="72074CF7" w:rsidR="00890C11" w:rsidRPr="00890C11" w:rsidRDefault="00890C11" w:rsidP="00890C11">
      <w:pPr>
        <w:jc w:val="both"/>
        <w:rPr>
          <w:rFonts w:ascii="Cambria" w:hAnsi="Cambria"/>
        </w:rPr>
      </w:pPr>
      <w:r w:rsidRPr="00890C11">
        <w:rPr>
          <w:rFonts w:ascii="Cambria" w:hAnsi="Cambria"/>
        </w:rPr>
        <w:t xml:space="preserve">                45233221-4- Malowanie nawierzchni</w:t>
      </w:r>
    </w:p>
    <w:p w14:paraId="487721B5" w14:textId="4F5081C7" w:rsidR="00890C11" w:rsidRPr="00890C11" w:rsidRDefault="00890C11" w:rsidP="00890C11">
      <w:pPr>
        <w:jc w:val="both"/>
        <w:rPr>
          <w:rFonts w:ascii="Cambria" w:eastAsiaTheme="majorEastAsia" w:hAnsi="Cambria" w:cs="Arial"/>
          <w:bCs/>
          <w:lang w:eastAsia="en-US"/>
        </w:rPr>
      </w:pPr>
      <w:r w:rsidRPr="00890C11">
        <w:rPr>
          <w:rFonts w:ascii="Cambria" w:eastAsiaTheme="majorEastAsia" w:hAnsi="Cambria" w:cs="Arial"/>
          <w:bCs/>
          <w:lang w:eastAsia="en-US"/>
        </w:rPr>
        <w:t xml:space="preserve">                45233222-1- Roboty budowlane w zakresie układania chodników i asfaltowania</w:t>
      </w:r>
    </w:p>
    <w:p w14:paraId="5D3572FB" w14:textId="77777777" w:rsidR="00890C11" w:rsidRDefault="00890C11" w:rsidP="0032648B">
      <w:pPr>
        <w:jc w:val="both"/>
        <w:rPr>
          <w:rFonts w:ascii="Cambria" w:hAnsi="Cambria"/>
        </w:rPr>
      </w:pPr>
    </w:p>
    <w:p w14:paraId="742FE012" w14:textId="77777777" w:rsidR="0032648B" w:rsidRDefault="0032648B" w:rsidP="0032648B">
      <w:pPr>
        <w:jc w:val="both"/>
        <w:rPr>
          <w:rFonts w:ascii="Cambria" w:hAnsi="Cambria"/>
        </w:rPr>
      </w:pPr>
    </w:p>
    <w:p w14:paraId="6BB3FC43" w14:textId="77777777" w:rsidR="0032648B" w:rsidRPr="00890C11" w:rsidRDefault="0032648B" w:rsidP="0032648B">
      <w:pPr>
        <w:jc w:val="both"/>
        <w:rPr>
          <w:rFonts w:ascii="Cambria" w:hAnsi="Cambria"/>
          <w:color w:val="FF0000"/>
        </w:rPr>
      </w:pPr>
    </w:p>
    <w:p w14:paraId="5FE20231" w14:textId="52F4C1C3"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w:t>
      </w:r>
      <w:r w:rsidR="00711685">
        <w:rPr>
          <w:rFonts w:asciiTheme="majorHAnsi" w:eastAsiaTheme="majorEastAsia" w:hAnsiTheme="majorHAnsi" w:cs="Arial"/>
          <w:lang w:eastAsia="en-US"/>
        </w:rPr>
        <w:t xml:space="preserve"> z 202</w:t>
      </w:r>
      <w:r w:rsidR="00657D67">
        <w:rPr>
          <w:rFonts w:asciiTheme="majorHAnsi" w:eastAsiaTheme="majorEastAsia" w:hAnsiTheme="majorHAnsi" w:cs="Arial"/>
          <w:lang w:eastAsia="en-US"/>
        </w:rPr>
        <w:t>3</w:t>
      </w:r>
      <w:r w:rsidR="00F04544" w:rsidRPr="00773D17">
        <w:rPr>
          <w:rFonts w:asciiTheme="majorHAnsi" w:eastAsiaTheme="majorEastAsia" w:hAnsiTheme="majorHAnsi" w:cs="Arial"/>
          <w:lang w:eastAsia="en-US"/>
        </w:rPr>
        <w:t xml:space="preserve"> poz. </w:t>
      </w:r>
      <w:r w:rsidR="00657D67">
        <w:rPr>
          <w:rFonts w:asciiTheme="majorHAnsi" w:eastAsiaTheme="majorEastAsia" w:hAnsiTheme="majorHAnsi" w:cs="Arial"/>
          <w:lang w:eastAsia="en-US"/>
        </w:rPr>
        <w:t>1605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40328A" w14:textId="77777777" w:rsidR="00BD6B1C" w:rsidRPr="00773D17" w:rsidRDefault="00BD6B1C" w:rsidP="00AA4F20">
      <w:pPr>
        <w:jc w:val="both"/>
        <w:rPr>
          <w:rFonts w:asciiTheme="majorHAnsi" w:eastAsiaTheme="majorEastAsia" w:hAnsiTheme="majorHAnsi" w:cs="Arial"/>
          <w:lang w:eastAsia="en-US"/>
        </w:rPr>
      </w:pPr>
    </w:p>
    <w:p w14:paraId="2DC5098A" w14:textId="19752E88" w:rsidR="008A0C60" w:rsidRPr="00260B12" w:rsidRDefault="00260B12" w:rsidP="001B24ED">
      <w:pPr>
        <w:suppressAutoHyphens/>
        <w:spacing w:line="276" w:lineRule="auto"/>
        <w:jc w:val="right"/>
        <w:rPr>
          <w:rFonts w:asciiTheme="majorHAnsi" w:hAnsiTheme="majorHAnsi"/>
          <w:b/>
          <w:sz w:val="28"/>
          <w:lang w:eastAsia="ar-SA"/>
        </w:rPr>
      </w:pPr>
      <w:r w:rsidRPr="00260B12">
        <w:rPr>
          <w:rFonts w:asciiTheme="majorHAnsi" w:hAnsiTheme="majorHAnsi"/>
          <w:b/>
          <w:sz w:val="28"/>
          <w:lang w:eastAsia="ar-SA"/>
        </w:rPr>
        <w:lastRenderedPageBreak/>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1DED328B" w14:textId="146561F7" w:rsidR="0027772A" w:rsidRPr="001B24ED" w:rsidRDefault="008A0C60" w:rsidP="001B24ED">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sidR="00711685">
        <w:rPr>
          <w:rFonts w:asciiTheme="majorHAnsi" w:hAnsiTheme="majorHAnsi"/>
          <w:lang w:eastAsia="ar-SA"/>
        </w:rPr>
        <w:t>Dariusz Pasterkiewicz</w:t>
      </w:r>
    </w:p>
    <w:p w14:paraId="594A3D60" w14:textId="77777777" w:rsidR="001B24ED" w:rsidRDefault="001B24ED" w:rsidP="001B24ED">
      <w:pPr>
        <w:spacing w:line="252" w:lineRule="auto"/>
        <w:rPr>
          <w:rFonts w:asciiTheme="majorHAnsi" w:eastAsiaTheme="majorEastAsia" w:hAnsiTheme="majorHAnsi" w:cs="Arial"/>
          <w:bCs/>
          <w:lang w:eastAsia="en-US"/>
        </w:rPr>
      </w:pPr>
      <w:r>
        <w:rPr>
          <w:rFonts w:asciiTheme="majorHAnsi" w:eastAsiaTheme="majorEastAsia" w:hAnsiTheme="majorHAnsi" w:cs="Arial"/>
          <w:bCs/>
          <w:lang w:eastAsia="en-US"/>
        </w:rPr>
        <w:t xml:space="preserve">                                      </w:t>
      </w:r>
    </w:p>
    <w:p w14:paraId="75FF31A2" w14:textId="0ACB5652" w:rsidR="009127BA" w:rsidRPr="00165D6A" w:rsidRDefault="0032648B" w:rsidP="008A33B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Listopad</w:t>
      </w:r>
      <w:r w:rsidR="00BC5FBE">
        <w:rPr>
          <w:rFonts w:asciiTheme="majorHAnsi" w:eastAsiaTheme="majorEastAsia" w:hAnsiTheme="majorHAnsi" w:cs="Arial"/>
          <w:bCs/>
          <w:lang w:eastAsia="en-US"/>
        </w:rPr>
        <w:t xml:space="preserve"> 202</w:t>
      </w:r>
      <w:r w:rsidR="00711685">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5E8F96B1" w14:textId="77777777" w:rsidR="00890C11" w:rsidRDefault="00890C11" w:rsidP="00AF53BA">
      <w:pPr>
        <w:spacing w:after="200" w:line="252" w:lineRule="auto"/>
        <w:jc w:val="center"/>
        <w:rPr>
          <w:rFonts w:asciiTheme="majorHAnsi" w:eastAsiaTheme="majorEastAsia" w:hAnsiTheme="majorHAnsi" w:cs="Arial"/>
          <w:b/>
          <w:lang w:eastAsia="en-US"/>
        </w:rPr>
      </w:pPr>
    </w:p>
    <w:p w14:paraId="3AAD64CD" w14:textId="77777777" w:rsidR="004B586A" w:rsidRDefault="004B586A" w:rsidP="00AF53BA">
      <w:pPr>
        <w:spacing w:after="200" w:line="252" w:lineRule="auto"/>
        <w:jc w:val="center"/>
        <w:rPr>
          <w:rFonts w:asciiTheme="majorHAnsi" w:eastAsiaTheme="majorEastAsia" w:hAnsiTheme="majorHAnsi" w:cs="Arial"/>
          <w:b/>
          <w:lang w:eastAsia="en-US"/>
        </w:rPr>
      </w:pPr>
    </w:p>
    <w:p w14:paraId="2900D5FB" w14:textId="77777777" w:rsidR="004B586A" w:rsidRDefault="004B586A" w:rsidP="00AF53BA">
      <w:pPr>
        <w:spacing w:after="200" w:line="252" w:lineRule="auto"/>
        <w:jc w:val="center"/>
        <w:rPr>
          <w:rFonts w:asciiTheme="majorHAnsi" w:eastAsiaTheme="majorEastAsia" w:hAnsiTheme="majorHAnsi" w:cs="Arial"/>
          <w:b/>
          <w:lang w:eastAsia="en-US"/>
        </w:rPr>
      </w:pPr>
    </w:p>
    <w:p w14:paraId="201DB8EE" w14:textId="77777777" w:rsidR="004B586A" w:rsidRDefault="004B586A" w:rsidP="00AF53BA">
      <w:pPr>
        <w:spacing w:after="200" w:line="252" w:lineRule="auto"/>
        <w:jc w:val="center"/>
        <w:rPr>
          <w:rFonts w:asciiTheme="majorHAnsi" w:eastAsiaTheme="majorEastAsia" w:hAnsiTheme="majorHAnsi" w:cs="Arial"/>
          <w:b/>
          <w:lang w:eastAsia="en-US"/>
        </w:rPr>
      </w:pPr>
    </w:p>
    <w:p w14:paraId="2F4C4586" w14:textId="77777777" w:rsidR="004B586A" w:rsidRDefault="004B586A" w:rsidP="00AF53BA">
      <w:pPr>
        <w:spacing w:after="200" w:line="252" w:lineRule="auto"/>
        <w:jc w:val="center"/>
        <w:rPr>
          <w:rFonts w:asciiTheme="majorHAnsi" w:eastAsiaTheme="majorEastAsia" w:hAnsiTheme="majorHAnsi" w:cs="Arial"/>
          <w:b/>
          <w:lang w:eastAsia="en-US"/>
        </w:rPr>
      </w:pPr>
    </w:p>
    <w:p w14:paraId="1C13EEF6" w14:textId="77777777" w:rsidR="004B586A" w:rsidRDefault="004B586A" w:rsidP="00AF53BA">
      <w:pPr>
        <w:spacing w:after="200" w:line="252" w:lineRule="auto"/>
        <w:jc w:val="center"/>
        <w:rPr>
          <w:rFonts w:asciiTheme="majorHAnsi" w:eastAsiaTheme="majorEastAsia" w:hAnsiTheme="majorHAnsi" w:cs="Arial"/>
          <w:b/>
          <w:lang w:eastAsia="en-US"/>
        </w:rPr>
      </w:pPr>
    </w:p>
    <w:p w14:paraId="43C31F92" w14:textId="77777777" w:rsidR="004B586A" w:rsidRDefault="004B586A" w:rsidP="00AF53BA">
      <w:pPr>
        <w:spacing w:after="200" w:line="252" w:lineRule="auto"/>
        <w:jc w:val="center"/>
        <w:rPr>
          <w:rFonts w:asciiTheme="majorHAnsi" w:eastAsiaTheme="majorEastAsia" w:hAnsiTheme="majorHAnsi" w:cs="Arial"/>
          <w:b/>
          <w:lang w:eastAsia="en-US"/>
        </w:rPr>
      </w:pPr>
    </w:p>
    <w:p w14:paraId="2F9EF377" w14:textId="77777777" w:rsidR="004B586A" w:rsidRDefault="004B586A" w:rsidP="00AF53BA">
      <w:pPr>
        <w:spacing w:after="200" w:line="252" w:lineRule="auto"/>
        <w:jc w:val="center"/>
        <w:rPr>
          <w:rFonts w:asciiTheme="majorHAnsi" w:eastAsiaTheme="majorEastAsia" w:hAnsiTheme="majorHAnsi" w:cs="Arial"/>
          <w:b/>
          <w:lang w:eastAsia="en-US"/>
        </w:rPr>
      </w:pPr>
    </w:p>
    <w:p w14:paraId="7FEEE462" w14:textId="77777777" w:rsidR="004B586A" w:rsidRDefault="004B586A" w:rsidP="00AF53BA">
      <w:pPr>
        <w:spacing w:after="200" w:line="252" w:lineRule="auto"/>
        <w:jc w:val="center"/>
        <w:rPr>
          <w:rFonts w:asciiTheme="majorHAnsi" w:eastAsiaTheme="majorEastAsia" w:hAnsiTheme="majorHAnsi" w:cs="Arial"/>
          <w:b/>
          <w:lang w:eastAsia="en-US"/>
        </w:rPr>
      </w:pPr>
    </w:p>
    <w:p w14:paraId="0ABC80BC" w14:textId="77777777" w:rsidR="004B586A" w:rsidRDefault="004B586A" w:rsidP="00AF53BA">
      <w:pPr>
        <w:spacing w:after="200" w:line="252" w:lineRule="auto"/>
        <w:jc w:val="center"/>
        <w:rPr>
          <w:rFonts w:asciiTheme="majorHAnsi" w:eastAsiaTheme="majorEastAsia" w:hAnsiTheme="majorHAnsi" w:cs="Arial"/>
          <w:b/>
          <w:lang w:eastAsia="en-US"/>
        </w:rPr>
      </w:pPr>
    </w:p>
    <w:p w14:paraId="7CA36CF5" w14:textId="77777777" w:rsidR="004B586A" w:rsidRDefault="004B586A" w:rsidP="00AF53BA">
      <w:pPr>
        <w:spacing w:after="200" w:line="252" w:lineRule="auto"/>
        <w:jc w:val="center"/>
        <w:rPr>
          <w:rFonts w:asciiTheme="majorHAnsi" w:eastAsiaTheme="majorEastAsia" w:hAnsiTheme="majorHAnsi" w:cs="Arial"/>
          <w:b/>
          <w:lang w:eastAsia="en-US"/>
        </w:rPr>
      </w:pPr>
    </w:p>
    <w:p w14:paraId="2497E9D8" w14:textId="77777777" w:rsidR="004B586A" w:rsidRDefault="004B586A" w:rsidP="00AF53BA">
      <w:pPr>
        <w:spacing w:after="200" w:line="252" w:lineRule="auto"/>
        <w:jc w:val="center"/>
        <w:rPr>
          <w:rFonts w:asciiTheme="majorHAnsi" w:eastAsiaTheme="majorEastAsia" w:hAnsiTheme="majorHAnsi" w:cs="Arial"/>
          <w:b/>
          <w:lang w:eastAsia="en-US"/>
        </w:rPr>
      </w:pPr>
    </w:p>
    <w:p w14:paraId="72F2BA3D" w14:textId="77777777" w:rsidR="004B586A" w:rsidRDefault="004B586A" w:rsidP="00AF53BA">
      <w:pPr>
        <w:spacing w:after="200" w:line="252" w:lineRule="auto"/>
        <w:jc w:val="center"/>
        <w:rPr>
          <w:rFonts w:asciiTheme="majorHAnsi" w:eastAsiaTheme="majorEastAsia" w:hAnsiTheme="majorHAnsi" w:cs="Arial"/>
          <w:b/>
          <w:lang w:eastAsia="en-US"/>
        </w:rPr>
      </w:pPr>
    </w:p>
    <w:p w14:paraId="64DFADE5" w14:textId="77777777" w:rsidR="004B586A" w:rsidRDefault="004B586A" w:rsidP="00AF53BA">
      <w:pPr>
        <w:spacing w:after="200" w:line="252" w:lineRule="auto"/>
        <w:jc w:val="center"/>
        <w:rPr>
          <w:rFonts w:asciiTheme="majorHAnsi" w:eastAsiaTheme="majorEastAsia" w:hAnsiTheme="majorHAnsi" w:cs="Arial"/>
          <w:b/>
          <w:lang w:eastAsia="en-US"/>
        </w:rPr>
      </w:pPr>
    </w:p>
    <w:p w14:paraId="741F0E38" w14:textId="77777777" w:rsidR="004B586A" w:rsidRDefault="004B586A" w:rsidP="00AF53BA">
      <w:pPr>
        <w:spacing w:after="200" w:line="252" w:lineRule="auto"/>
        <w:jc w:val="center"/>
        <w:rPr>
          <w:rFonts w:asciiTheme="majorHAnsi" w:eastAsiaTheme="majorEastAsia" w:hAnsiTheme="majorHAnsi" w:cs="Arial"/>
          <w:b/>
          <w:lang w:eastAsia="en-US"/>
        </w:rPr>
      </w:pPr>
    </w:p>
    <w:p w14:paraId="667166FD" w14:textId="77777777" w:rsidR="004B586A" w:rsidRDefault="004B586A" w:rsidP="00AF53BA">
      <w:pPr>
        <w:spacing w:after="200" w:line="252" w:lineRule="auto"/>
        <w:jc w:val="center"/>
        <w:rPr>
          <w:rFonts w:asciiTheme="majorHAnsi" w:eastAsiaTheme="majorEastAsia" w:hAnsiTheme="majorHAnsi" w:cs="Arial"/>
          <w:b/>
          <w:lang w:eastAsia="en-US"/>
        </w:rPr>
      </w:pPr>
    </w:p>
    <w:p w14:paraId="2788E070" w14:textId="77777777" w:rsidR="004B586A" w:rsidRDefault="004B586A" w:rsidP="00AF53BA">
      <w:pPr>
        <w:spacing w:after="200" w:line="252" w:lineRule="auto"/>
        <w:jc w:val="center"/>
        <w:rPr>
          <w:rFonts w:asciiTheme="majorHAnsi" w:eastAsiaTheme="majorEastAsia" w:hAnsiTheme="majorHAnsi" w:cs="Arial"/>
          <w:b/>
          <w:lang w:eastAsia="en-US"/>
        </w:rPr>
      </w:pPr>
    </w:p>
    <w:p w14:paraId="4916EB13" w14:textId="77777777" w:rsidR="004B586A" w:rsidRDefault="004B586A" w:rsidP="00AF53BA">
      <w:pPr>
        <w:spacing w:after="200" w:line="252" w:lineRule="auto"/>
        <w:jc w:val="center"/>
        <w:rPr>
          <w:rFonts w:asciiTheme="majorHAnsi" w:eastAsiaTheme="majorEastAsia" w:hAnsiTheme="majorHAnsi" w:cs="Arial"/>
          <w:b/>
          <w:lang w:eastAsia="en-US"/>
        </w:rPr>
      </w:pPr>
    </w:p>
    <w:p w14:paraId="0F450F32" w14:textId="77777777" w:rsidR="004B586A" w:rsidRDefault="004B586A" w:rsidP="00AF53BA">
      <w:pPr>
        <w:spacing w:after="200" w:line="252" w:lineRule="auto"/>
        <w:jc w:val="center"/>
        <w:rPr>
          <w:rFonts w:asciiTheme="majorHAnsi" w:eastAsiaTheme="majorEastAsia" w:hAnsiTheme="majorHAnsi" w:cs="Arial"/>
          <w:b/>
          <w:lang w:eastAsia="en-US"/>
        </w:rPr>
      </w:pPr>
    </w:p>
    <w:p w14:paraId="6764BC17" w14:textId="77777777" w:rsidR="004B586A" w:rsidRDefault="004B586A" w:rsidP="00AF53BA">
      <w:pPr>
        <w:spacing w:after="200" w:line="252" w:lineRule="auto"/>
        <w:jc w:val="center"/>
        <w:rPr>
          <w:rFonts w:asciiTheme="majorHAnsi" w:eastAsiaTheme="majorEastAsia" w:hAnsiTheme="majorHAnsi" w:cs="Arial"/>
          <w:b/>
          <w:lang w:eastAsia="en-US"/>
        </w:rPr>
      </w:pPr>
    </w:p>
    <w:p w14:paraId="1E90B0C6" w14:textId="77777777" w:rsidR="004B586A" w:rsidRDefault="004B586A" w:rsidP="00AF53BA">
      <w:pPr>
        <w:spacing w:after="200" w:line="252" w:lineRule="auto"/>
        <w:jc w:val="center"/>
        <w:rPr>
          <w:rFonts w:asciiTheme="majorHAnsi" w:eastAsiaTheme="majorEastAsia" w:hAnsiTheme="majorHAnsi" w:cs="Arial"/>
          <w:b/>
          <w:lang w:eastAsia="en-US"/>
        </w:rPr>
      </w:pPr>
    </w:p>
    <w:p w14:paraId="35BB4515" w14:textId="77777777" w:rsidR="0032648B" w:rsidRDefault="0032648B" w:rsidP="00AF53BA">
      <w:pPr>
        <w:spacing w:after="200" w:line="252" w:lineRule="auto"/>
        <w:jc w:val="center"/>
        <w:rPr>
          <w:rFonts w:asciiTheme="majorHAnsi" w:eastAsiaTheme="majorEastAsia" w:hAnsiTheme="majorHAnsi" w:cs="Arial"/>
          <w:b/>
          <w:lang w:eastAsia="en-US"/>
        </w:rPr>
      </w:pPr>
    </w:p>
    <w:p w14:paraId="6C56006E" w14:textId="77777777" w:rsidR="0032648B" w:rsidRDefault="0032648B" w:rsidP="00AF53BA">
      <w:pPr>
        <w:spacing w:after="200" w:line="252" w:lineRule="auto"/>
        <w:jc w:val="center"/>
        <w:rPr>
          <w:rFonts w:asciiTheme="majorHAnsi" w:eastAsiaTheme="majorEastAsia" w:hAnsiTheme="majorHAnsi" w:cs="Arial"/>
          <w:b/>
          <w:lang w:eastAsia="en-US"/>
        </w:rPr>
      </w:pPr>
    </w:p>
    <w:p w14:paraId="3A5B78F1" w14:textId="77777777" w:rsidR="0032648B" w:rsidRDefault="0032648B" w:rsidP="00AF53BA">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D90FAA8"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711685">
        <w:rPr>
          <w:rFonts w:ascii="Cambria" w:eastAsiaTheme="majorEastAsia" w:hAnsi="Cambria" w:cs="Arial"/>
          <w:lang w:eastAsia="en-US"/>
        </w:rPr>
        <w:t>z 202</w:t>
      </w:r>
      <w:r w:rsidR="00B42EAE">
        <w:rPr>
          <w:rFonts w:ascii="Cambria" w:eastAsiaTheme="majorEastAsia" w:hAnsi="Cambria" w:cs="Arial"/>
          <w:lang w:eastAsia="en-US"/>
        </w:rPr>
        <w:t>3</w:t>
      </w:r>
      <w:r w:rsidR="00711685">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7B3278">
        <w:rPr>
          <w:rFonts w:ascii="Cambria" w:eastAsiaTheme="majorEastAsia" w:hAnsi="Cambria" w:cs="Arial"/>
          <w:lang w:eastAsia="en-US"/>
        </w:rPr>
        <w:t>1</w:t>
      </w:r>
      <w:r w:rsidR="00B42EAE">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711685">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1AC8BE3F" w14:textId="77777777" w:rsidR="004B586A" w:rsidRDefault="00C37169" w:rsidP="004B586A">
      <w:pPr>
        <w:pStyle w:val="Akapitzlist"/>
        <w:numPr>
          <w:ilvl w:val="0"/>
          <w:numId w:val="33"/>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711685" w:rsidRPr="00803D2A">
        <w:rPr>
          <w:rFonts w:asciiTheme="majorHAnsi" w:hAnsiTheme="majorHAnsi"/>
        </w:rPr>
        <w:t>Dz. U. z 20</w:t>
      </w:r>
      <w:r w:rsidR="00711685">
        <w:rPr>
          <w:rFonts w:asciiTheme="majorHAnsi" w:hAnsiTheme="majorHAnsi"/>
        </w:rPr>
        <w:t>22</w:t>
      </w:r>
      <w:r w:rsidR="00711685" w:rsidRPr="00803D2A">
        <w:rPr>
          <w:rFonts w:asciiTheme="majorHAnsi" w:hAnsiTheme="majorHAnsi"/>
        </w:rPr>
        <w:t xml:space="preserve"> r. poz. </w:t>
      </w:r>
      <w:r w:rsidR="00711685">
        <w:rPr>
          <w:rFonts w:asciiTheme="majorHAnsi" w:hAnsiTheme="majorHAnsi"/>
        </w:rPr>
        <w:t>1510 ze zm.</w:t>
      </w:r>
      <w:r w:rsidRPr="001641F2">
        <w:rPr>
          <w:rFonts w:ascii="Cambria" w:hAnsi="Cambria"/>
        </w:rPr>
        <w:t xml:space="preserve">) </w:t>
      </w:r>
    </w:p>
    <w:p w14:paraId="10BC3379" w14:textId="47F5C5AD" w:rsidR="00C37169" w:rsidRPr="00AD4FF1" w:rsidRDefault="00C37169" w:rsidP="004B586A">
      <w:pPr>
        <w:pStyle w:val="Akapitzlist"/>
        <w:numPr>
          <w:ilvl w:val="0"/>
          <w:numId w:val="33"/>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67E3AC37" w:rsidR="00C37169" w:rsidRPr="00297ADD" w:rsidRDefault="00711685" w:rsidP="00711685">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3FFF4C9B"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4B586A">
        <w:rPr>
          <w:rFonts w:asciiTheme="majorHAnsi" w:eastAsia="Calibri" w:hAnsiTheme="majorHAnsi" w:cs="Calibri"/>
        </w:rPr>
        <w:t>Magdalena Stelmach</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663978">
        <w:rPr>
          <w:rFonts w:asciiTheme="majorHAnsi" w:eastAsiaTheme="majorEastAsia" w:hAnsiTheme="majorHAnsi" w:cstheme="majorBidi"/>
          <w:b/>
          <w:lang w:eastAsia="en-US"/>
        </w:rPr>
        <w:t>nie dokonuje podziału</w:t>
      </w:r>
      <w:r w:rsidRPr="00773D17">
        <w:rPr>
          <w:rFonts w:asciiTheme="majorHAnsi" w:eastAsiaTheme="majorEastAsia" w:hAnsiTheme="majorHAnsi" w:cstheme="majorBidi"/>
          <w:lang w:eastAsia="en-US"/>
        </w:rPr>
        <w:t xml:space="preserve">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0A1905A" w14:textId="31D7D405" w:rsidR="004F6E7A" w:rsidRPr="004F6E7A" w:rsidRDefault="004F6E7A" w:rsidP="004F6E7A">
      <w:pPr>
        <w:spacing w:after="200" w:line="252" w:lineRule="auto"/>
        <w:contextualSpacing/>
        <w:jc w:val="both"/>
        <w:rPr>
          <w:rFonts w:asciiTheme="majorHAnsi" w:eastAsiaTheme="majorEastAsia" w:hAnsiTheme="majorHAnsi" w:cstheme="majorBidi"/>
          <w:bCs/>
          <w:lang w:eastAsia="en-US"/>
        </w:rPr>
      </w:pPr>
      <w:r w:rsidRPr="004F6E7A">
        <w:rPr>
          <w:rFonts w:asciiTheme="majorHAnsi" w:eastAsiaTheme="majorEastAsia" w:hAnsiTheme="majorHAnsi" w:cstheme="majorBidi"/>
          <w:bCs/>
          <w:lang w:eastAsia="en-US"/>
        </w:rPr>
        <w:t xml:space="preserve">Zamawiający nie dokonał podziału zamówienia na części ze względu na to, że podział taki groziłby nadmiernymi trudnościami technicznymi oraz nadmiernymi kosztami wykonania zamówienia. Potrzeba skoordynowania działań różnych </w:t>
      </w:r>
      <w:r>
        <w:rPr>
          <w:rFonts w:asciiTheme="majorHAnsi" w:eastAsiaTheme="majorEastAsia" w:hAnsiTheme="majorHAnsi" w:cstheme="majorBidi"/>
          <w:bCs/>
          <w:lang w:eastAsia="en-US"/>
        </w:rPr>
        <w:t>W</w:t>
      </w:r>
      <w:r w:rsidRPr="004F6E7A">
        <w:rPr>
          <w:rFonts w:asciiTheme="majorHAnsi" w:eastAsiaTheme="majorEastAsia" w:hAnsiTheme="majorHAnsi" w:cstheme="majorBidi"/>
          <w:bCs/>
          <w:lang w:eastAsia="en-US"/>
        </w:rPr>
        <w:t xml:space="preserve">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lastRenderedPageBreak/>
        <w:t>Zamawiający</w:t>
      </w:r>
      <w:r w:rsidR="009876FE" w:rsidRPr="009876FE">
        <w:rPr>
          <w:rFonts w:asciiTheme="majorHAnsi" w:eastAsiaTheme="majorEastAsia" w:hAnsiTheme="majorHAnsi" w:cstheme="majorBidi"/>
          <w:lang w:eastAsia="en-US"/>
        </w:rPr>
        <w:t xml:space="preserve"> </w:t>
      </w:r>
      <w:r w:rsidR="000530B3" w:rsidRPr="002A2F3E">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2A2F3E">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2A2F3E">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B11AC15"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423C98">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w:t>
      </w:r>
      <w:r w:rsidRPr="00773D17">
        <w:rPr>
          <w:rFonts w:asciiTheme="majorHAnsi" w:eastAsiaTheme="majorEastAsia" w:hAnsiTheme="majorHAnsi" w:cstheme="majorBidi"/>
          <w:lang w:eastAsia="en-US"/>
        </w:rPr>
        <w:lastRenderedPageBreak/>
        <w:t xml:space="preserve">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CED0712"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423C98">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92749C4" w:rsidR="009F62A5" w:rsidRPr="004F6E7A"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76A1CB7" w14:textId="75440F7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4F6E7A">
        <w:rPr>
          <w:rFonts w:asciiTheme="majorHAnsi" w:hAnsiTheme="majorHAnsi" w:cstheme="majorBidi"/>
          <w:b/>
          <w:highlight w:val="lightGray"/>
          <w:lang w:eastAsia="en-US"/>
        </w:rPr>
        <w:t xml:space="preserve"> z 202</w:t>
      </w:r>
      <w:r w:rsidR="00B42EAE">
        <w:rPr>
          <w:rFonts w:asciiTheme="majorHAnsi" w:hAnsiTheme="majorHAnsi" w:cstheme="majorBidi"/>
          <w:b/>
          <w:highlight w:val="lightGray"/>
          <w:lang w:eastAsia="en-US"/>
        </w:rPr>
        <w:t>3</w:t>
      </w:r>
      <w:r w:rsidR="004F6E7A">
        <w:rPr>
          <w:rFonts w:asciiTheme="majorHAnsi" w:hAnsiTheme="majorHAnsi" w:cstheme="majorBidi"/>
          <w:b/>
          <w:highlight w:val="lightGray"/>
          <w:lang w:eastAsia="en-US"/>
        </w:rPr>
        <w:t xml:space="preserve"> r</w:t>
      </w:r>
      <w:r w:rsidR="00177403">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 xml:space="preserve"> poz. </w:t>
      </w:r>
      <w:r w:rsidR="004F6E7A">
        <w:rPr>
          <w:rFonts w:asciiTheme="majorHAnsi" w:hAnsiTheme="majorHAnsi" w:cstheme="majorBidi"/>
          <w:b/>
          <w:highlight w:val="lightGray"/>
          <w:lang w:eastAsia="en-US"/>
        </w:rPr>
        <w:t>1</w:t>
      </w:r>
      <w:r w:rsidR="00B42EAE">
        <w:rPr>
          <w:rFonts w:asciiTheme="majorHAnsi" w:hAnsiTheme="majorHAnsi" w:cstheme="majorBidi"/>
          <w:b/>
          <w:highlight w:val="lightGray"/>
          <w:lang w:eastAsia="en-US"/>
        </w:rPr>
        <w:t>605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0F3A837" w:rsidR="0049696A" w:rsidRPr="00655960" w:rsidRDefault="00AA4F20" w:rsidP="00FA13B3">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32648B">
        <w:rPr>
          <w:rFonts w:asciiTheme="majorHAnsi" w:hAnsiTheme="majorHAnsi"/>
        </w:rPr>
        <w:t>Przebudowa drogi powiatowej nr 4777P w m. Gronówko- Poprawa bezpieczeństwa na drogach powiatowych</w:t>
      </w:r>
      <w:r w:rsidR="009326E6" w:rsidRPr="00655960">
        <w:rPr>
          <w:rFonts w:ascii="Cambria" w:hAnsi="Cambria"/>
          <w:lang w:val="pl-PL"/>
        </w:rPr>
        <w:t xml:space="preserve">”    </w:t>
      </w:r>
    </w:p>
    <w:p w14:paraId="3183AD1A" w14:textId="77777777" w:rsidR="00FE5722" w:rsidRDefault="00AA4F20" w:rsidP="00030B9F">
      <w:pPr>
        <w:pStyle w:val="Nagwek"/>
        <w:widowControl w:val="0"/>
        <w:numPr>
          <w:ilvl w:val="0"/>
          <w:numId w:val="41"/>
        </w:numPr>
        <w:spacing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19C99884" w14:textId="4175B7BB" w:rsidR="0032648B" w:rsidRDefault="0032648B" w:rsidP="0032648B">
      <w:pPr>
        <w:pStyle w:val="Akapitzlist"/>
        <w:numPr>
          <w:ilvl w:val="0"/>
          <w:numId w:val="86"/>
        </w:numPr>
        <w:autoSpaceDE w:val="0"/>
        <w:autoSpaceDN w:val="0"/>
        <w:ind w:left="567"/>
        <w:jc w:val="both"/>
        <w:rPr>
          <w:rFonts w:ascii="Cambria" w:hAnsi="Cambria"/>
        </w:rPr>
      </w:pPr>
      <w:r>
        <w:rPr>
          <w:rFonts w:ascii="Cambria" w:hAnsi="Cambria"/>
        </w:rPr>
        <w:t>wycinkę drzew oraz mechaniczne karczowanie pni</w:t>
      </w:r>
      <w:r>
        <w:rPr>
          <w:rFonts w:ascii="Cambria" w:hAnsi="Cambria"/>
        </w:rPr>
        <w:t>,</w:t>
      </w:r>
      <w:r>
        <w:rPr>
          <w:rFonts w:ascii="Cambria" w:hAnsi="Cambria"/>
        </w:rPr>
        <w:t xml:space="preserve"> </w:t>
      </w:r>
    </w:p>
    <w:p w14:paraId="65ECAF61" w14:textId="7AAC5CEC" w:rsidR="0032648B" w:rsidRDefault="0032648B" w:rsidP="0032648B">
      <w:pPr>
        <w:pStyle w:val="Akapitzlist"/>
        <w:numPr>
          <w:ilvl w:val="0"/>
          <w:numId w:val="86"/>
        </w:numPr>
        <w:autoSpaceDE w:val="0"/>
        <w:autoSpaceDN w:val="0"/>
        <w:ind w:left="567"/>
        <w:jc w:val="both"/>
        <w:rPr>
          <w:rFonts w:ascii="Cambria" w:hAnsi="Cambria"/>
        </w:rPr>
      </w:pPr>
      <w:r>
        <w:rPr>
          <w:rFonts w:ascii="Cambria" w:hAnsi="Cambria"/>
        </w:rPr>
        <w:t>frezowanie nawierzchni bitumicznej</w:t>
      </w:r>
      <w:r>
        <w:rPr>
          <w:rFonts w:ascii="Cambria" w:hAnsi="Cambria"/>
        </w:rPr>
        <w:t>,</w:t>
      </w:r>
    </w:p>
    <w:p w14:paraId="44111B9E" w14:textId="77777777" w:rsidR="0032648B" w:rsidRDefault="0032648B" w:rsidP="0032648B">
      <w:pPr>
        <w:pStyle w:val="Akapitzlist"/>
        <w:numPr>
          <w:ilvl w:val="0"/>
          <w:numId w:val="86"/>
        </w:numPr>
        <w:autoSpaceDE w:val="0"/>
        <w:autoSpaceDN w:val="0"/>
        <w:ind w:left="567"/>
        <w:jc w:val="both"/>
        <w:rPr>
          <w:rFonts w:ascii="Cambria" w:hAnsi="Cambria"/>
        </w:rPr>
      </w:pPr>
      <w:r>
        <w:rPr>
          <w:rFonts w:ascii="Cambria" w:hAnsi="Cambria"/>
        </w:rPr>
        <w:t>roboty rozbiórkowe,</w:t>
      </w:r>
    </w:p>
    <w:p w14:paraId="5F5D4E25" w14:textId="77777777" w:rsidR="0032648B" w:rsidRDefault="0032648B" w:rsidP="0032648B">
      <w:pPr>
        <w:pStyle w:val="Akapitzlist"/>
        <w:numPr>
          <w:ilvl w:val="0"/>
          <w:numId w:val="86"/>
        </w:numPr>
        <w:autoSpaceDE w:val="0"/>
        <w:autoSpaceDN w:val="0"/>
        <w:ind w:left="567"/>
        <w:jc w:val="both"/>
        <w:rPr>
          <w:rFonts w:ascii="Cambria" w:hAnsi="Cambria"/>
        </w:rPr>
      </w:pPr>
      <w:r>
        <w:rPr>
          <w:rFonts w:ascii="Cambria" w:hAnsi="Cambria"/>
        </w:rPr>
        <w:t>roboty ziemne,</w:t>
      </w:r>
    </w:p>
    <w:p w14:paraId="198BC1CD" w14:textId="77777777" w:rsidR="0032648B" w:rsidRDefault="0032648B" w:rsidP="0032648B">
      <w:pPr>
        <w:pStyle w:val="Akapitzlist"/>
        <w:numPr>
          <w:ilvl w:val="0"/>
          <w:numId w:val="86"/>
        </w:numPr>
        <w:autoSpaceDE w:val="0"/>
        <w:autoSpaceDN w:val="0"/>
        <w:ind w:left="567"/>
        <w:jc w:val="both"/>
        <w:rPr>
          <w:rFonts w:ascii="Cambria" w:hAnsi="Cambria"/>
        </w:rPr>
      </w:pPr>
      <w:r>
        <w:rPr>
          <w:rFonts w:ascii="Cambria" w:hAnsi="Cambria"/>
        </w:rPr>
        <w:t>wykonanie podbudów,</w:t>
      </w:r>
    </w:p>
    <w:p w14:paraId="21969F94" w14:textId="77777777" w:rsidR="0032648B" w:rsidRDefault="0032648B" w:rsidP="0032648B">
      <w:pPr>
        <w:pStyle w:val="Akapitzlist"/>
        <w:numPr>
          <w:ilvl w:val="0"/>
          <w:numId w:val="86"/>
        </w:numPr>
        <w:autoSpaceDE w:val="0"/>
        <w:autoSpaceDN w:val="0"/>
        <w:ind w:left="567"/>
        <w:jc w:val="both"/>
        <w:rPr>
          <w:rFonts w:ascii="Cambria" w:hAnsi="Cambria"/>
        </w:rPr>
      </w:pPr>
      <w:r>
        <w:rPr>
          <w:rFonts w:ascii="Cambria" w:hAnsi="Cambria"/>
        </w:rPr>
        <w:t>ustawienie krawężników, obrzeży betonowych,</w:t>
      </w:r>
    </w:p>
    <w:p w14:paraId="2A74BCE5" w14:textId="77777777" w:rsidR="0032648B" w:rsidRDefault="0032648B" w:rsidP="0032648B">
      <w:pPr>
        <w:pStyle w:val="Akapitzlist"/>
        <w:numPr>
          <w:ilvl w:val="0"/>
          <w:numId w:val="86"/>
        </w:numPr>
        <w:autoSpaceDE w:val="0"/>
        <w:autoSpaceDN w:val="0"/>
        <w:ind w:left="567"/>
        <w:jc w:val="both"/>
        <w:rPr>
          <w:rFonts w:ascii="Cambria" w:hAnsi="Cambria"/>
        </w:rPr>
      </w:pPr>
      <w:r>
        <w:rPr>
          <w:rFonts w:ascii="Cambria" w:hAnsi="Cambria"/>
        </w:rPr>
        <w:t>ułożenie nawierzchni zjazdów, jezdni oraz chodnika,</w:t>
      </w:r>
    </w:p>
    <w:p w14:paraId="5B7F65A5" w14:textId="77777777" w:rsidR="0032648B" w:rsidRDefault="0032648B" w:rsidP="0032648B">
      <w:pPr>
        <w:pStyle w:val="Akapitzlist"/>
        <w:numPr>
          <w:ilvl w:val="0"/>
          <w:numId w:val="86"/>
        </w:numPr>
        <w:autoSpaceDE w:val="0"/>
        <w:autoSpaceDN w:val="0"/>
        <w:ind w:left="567"/>
        <w:jc w:val="both"/>
        <w:rPr>
          <w:rFonts w:ascii="Cambria" w:hAnsi="Cambria"/>
        </w:rPr>
      </w:pPr>
      <w:r>
        <w:rPr>
          <w:rFonts w:ascii="Cambria" w:hAnsi="Cambria"/>
        </w:rPr>
        <w:t>odtworzenie rowów,</w:t>
      </w:r>
    </w:p>
    <w:p w14:paraId="416B5D95" w14:textId="77777777" w:rsidR="0032648B" w:rsidRDefault="0032648B" w:rsidP="0032648B">
      <w:pPr>
        <w:pStyle w:val="Akapitzlist"/>
        <w:numPr>
          <w:ilvl w:val="0"/>
          <w:numId w:val="86"/>
        </w:numPr>
        <w:autoSpaceDE w:val="0"/>
        <w:autoSpaceDN w:val="0"/>
        <w:ind w:left="567"/>
        <w:jc w:val="both"/>
        <w:rPr>
          <w:rFonts w:ascii="Cambria" w:hAnsi="Cambria"/>
        </w:rPr>
      </w:pPr>
      <w:r>
        <w:rPr>
          <w:rFonts w:ascii="Cambria" w:hAnsi="Cambria"/>
        </w:rPr>
        <w:t>montaż oznakowania pionowego oraz wykonanie oznakowania poziomego,</w:t>
      </w:r>
    </w:p>
    <w:p w14:paraId="4EF1F385" w14:textId="77777777" w:rsidR="0032648B" w:rsidRDefault="0032648B" w:rsidP="0032648B">
      <w:pPr>
        <w:pStyle w:val="Akapitzlist"/>
        <w:numPr>
          <w:ilvl w:val="0"/>
          <w:numId w:val="86"/>
        </w:numPr>
        <w:autoSpaceDE w:val="0"/>
        <w:autoSpaceDN w:val="0"/>
        <w:ind w:left="567"/>
        <w:jc w:val="both"/>
        <w:rPr>
          <w:rFonts w:ascii="Cambria" w:hAnsi="Cambria"/>
        </w:rPr>
      </w:pPr>
      <w:r>
        <w:rPr>
          <w:rFonts w:ascii="Cambria" w:hAnsi="Cambria"/>
        </w:rPr>
        <w:t>wykonanie kanalizacji deszczowej.</w:t>
      </w:r>
    </w:p>
    <w:p w14:paraId="751FABB5" w14:textId="77777777" w:rsidR="004B586A" w:rsidRDefault="004B586A" w:rsidP="004B586A">
      <w:pPr>
        <w:pStyle w:val="Akapitzlist"/>
        <w:autoSpaceDE w:val="0"/>
        <w:autoSpaceDN w:val="0"/>
        <w:ind w:left="567"/>
        <w:jc w:val="both"/>
        <w:rPr>
          <w:rFonts w:ascii="Cambria" w:hAnsi="Cambria"/>
        </w:rPr>
      </w:pPr>
    </w:p>
    <w:p w14:paraId="3AD9FE3E" w14:textId="5D0C8D68" w:rsidR="00BD24F3" w:rsidRPr="00BD24F3" w:rsidRDefault="00BD24F3" w:rsidP="00BD24F3">
      <w:pPr>
        <w:pStyle w:val="Akapitzlist"/>
        <w:autoSpaceDE w:val="0"/>
        <w:autoSpaceDN w:val="0"/>
        <w:ind w:left="142"/>
        <w:jc w:val="both"/>
        <w:rPr>
          <w:rFonts w:ascii="Cambria" w:hAnsi="Cambria"/>
          <w:u w:val="single"/>
        </w:rPr>
      </w:pPr>
      <w:r w:rsidRPr="00BD24F3">
        <w:rPr>
          <w:rFonts w:ascii="Cambria" w:hAnsi="Cambria"/>
          <w:u w:val="single"/>
        </w:rPr>
        <w:t>UWAGA!</w:t>
      </w:r>
    </w:p>
    <w:p w14:paraId="11E36C1C" w14:textId="283454F7" w:rsidR="005F16E3" w:rsidRPr="0032648B" w:rsidRDefault="00BD24F3" w:rsidP="0032648B">
      <w:pPr>
        <w:pStyle w:val="Akapitzlist"/>
        <w:ind w:left="142"/>
        <w:jc w:val="both"/>
        <w:rPr>
          <w:rFonts w:ascii="Cambria" w:hAnsi="Cambria"/>
        </w:rPr>
      </w:pPr>
      <w:r>
        <w:rPr>
          <w:rFonts w:ascii="Cambria" w:hAnsi="Cambria"/>
        </w:rPr>
        <w:t xml:space="preserve">Zamawiający informuje, </w:t>
      </w:r>
      <w:r w:rsidR="0032648B">
        <w:rPr>
          <w:rFonts w:ascii="Cambria" w:hAnsi="Cambria"/>
        </w:rPr>
        <w:t xml:space="preserve">że </w:t>
      </w:r>
      <w:r w:rsidR="005F16E3" w:rsidRPr="0032648B">
        <w:rPr>
          <w:rFonts w:ascii="Cambria" w:hAnsi="Cambria"/>
        </w:rPr>
        <w:t>roboty budowlane muszą być rozpoczęte do końca roku 2023 r. i fakt ten musi być zatwierdzony wpisem do dziennika budowy.</w:t>
      </w:r>
    </w:p>
    <w:p w14:paraId="4599C1DF" w14:textId="7946AAA7" w:rsidR="00BD24F3" w:rsidRPr="004B586A" w:rsidRDefault="00BD24F3" w:rsidP="00BD24F3">
      <w:pPr>
        <w:pStyle w:val="Akapitzlist"/>
        <w:autoSpaceDE w:val="0"/>
        <w:autoSpaceDN w:val="0"/>
        <w:ind w:left="142"/>
        <w:jc w:val="both"/>
        <w:rPr>
          <w:rFonts w:ascii="Cambria" w:hAnsi="Cambria"/>
        </w:rPr>
      </w:pPr>
    </w:p>
    <w:p w14:paraId="3514FDBB" w14:textId="2F197F84" w:rsidR="00AA4F20" w:rsidRPr="00A077D8" w:rsidRDefault="00AA4F20" w:rsidP="00D845AC">
      <w:pPr>
        <w:pStyle w:val="Nagwek"/>
        <w:widowControl w:val="0"/>
        <w:spacing w:after="200" w:line="252" w:lineRule="auto"/>
        <w:ind w:left="142"/>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 xml:space="preserve">miotu zamówienia, opis wymagań </w:t>
      </w:r>
      <w:r w:rsidR="00BD24F3">
        <w:rPr>
          <w:rFonts w:ascii="Cambria" w:eastAsiaTheme="majorEastAsia" w:hAnsi="Cambria" w:cstheme="majorBidi"/>
          <w:b/>
          <w:lang w:val="pl-PL" w:eastAsia="en-US"/>
        </w:rPr>
        <w:t>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7632CF19" w14:textId="0EF0B1FB" w:rsidR="00FE5722" w:rsidRPr="00012C6E" w:rsidRDefault="00FE5722"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012C6E">
        <w:rPr>
          <w:rFonts w:asciiTheme="majorHAnsi" w:eastAsiaTheme="majorEastAsia" w:hAnsiTheme="majorHAnsi" w:cstheme="majorBidi"/>
          <w:bCs/>
          <w:lang w:eastAsia="en-US"/>
        </w:rPr>
        <w:t>Dokumentacja techniczna</w:t>
      </w:r>
      <w:r w:rsidRPr="00012C6E">
        <w:rPr>
          <w:rFonts w:asciiTheme="majorHAnsi" w:eastAsiaTheme="majorEastAsia" w:hAnsiTheme="majorHAnsi" w:cstheme="majorBidi"/>
          <w:lang w:eastAsia="en-US"/>
        </w:rPr>
        <w:t xml:space="preserve">– </w:t>
      </w:r>
      <w:r w:rsidRPr="00012C6E">
        <w:rPr>
          <w:rFonts w:asciiTheme="majorHAnsi" w:eastAsiaTheme="majorEastAsia" w:hAnsiTheme="majorHAnsi" w:cstheme="majorBidi"/>
          <w:b/>
          <w:lang w:eastAsia="en-US"/>
        </w:rPr>
        <w:t xml:space="preserve">załącznik nr </w:t>
      </w:r>
      <w:r w:rsidR="00423C98" w:rsidRPr="00012C6E">
        <w:rPr>
          <w:rFonts w:asciiTheme="majorHAnsi" w:eastAsiaTheme="majorEastAsia" w:hAnsiTheme="majorHAnsi" w:cstheme="majorBidi"/>
          <w:b/>
          <w:lang w:eastAsia="en-US"/>
        </w:rPr>
        <w:t>9</w:t>
      </w:r>
      <w:r w:rsidRPr="00012C6E">
        <w:rPr>
          <w:rFonts w:asciiTheme="majorHAnsi" w:eastAsiaTheme="majorEastAsia" w:hAnsiTheme="majorHAnsi" w:cstheme="majorBidi"/>
          <w:b/>
          <w:lang w:eastAsia="en-US"/>
        </w:rPr>
        <w:t xml:space="preserve"> do SWZ</w:t>
      </w:r>
    </w:p>
    <w:p w14:paraId="5BD2ED1C" w14:textId="2B984ACA" w:rsidR="00DF74A8" w:rsidRPr="00012C6E" w:rsidRDefault="00214A05"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012C6E">
        <w:rPr>
          <w:rFonts w:asciiTheme="majorHAnsi" w:eastAsiaTheme="majorEastAsia" w:hAnsiTheme="majorHAnsi" w:cstheme="majorBidi"/>
          <w:bCs/>
          <w:lang w:eastAsia="en-US"/>
        </w:rPr>
        <w:t xml:space="preserve">Szczegółowe Specyfikacje </w:t>
      </w:r>
      <w:r w:rsidR="00541FE9" w:rsidRPr="00012C6E">
        <w:rPr>
          <w:rFonts w:asciiTheme="majorHAnsi" w:eastAsiaTheme="majorEastAsia" w:hAnsiTheme="majorHAnsi" w:cstheme="majorBidi"/>
          <w:bCs/>
          <w:lang w:eastAsia="en-US"/>
        </w:rPr>
        <w:t xml:space="preserve">Techniczne </w:t>
      </w:r>
      <w:r w:rsidRPr="00012C6E">
        <w:rPr>
          <w:rFonts w:asciiTheme="majorHAnsi" w:eastAsiaTheme="majorEastAsia" w:hAnsiTheme="majorHAnsi" w:cstheme="majorBidi"/>
          <w:bCs/>
          <w:lang w:eastAsia="en-US"/>
        </w:rPr>
        <w:t>Wykonania i Odbioru Robót Budowlanych                 (SS</w:t>
      </w:r>
      <w:r w:rsidR="00541FE9" w:rsidRPr="00012C6E">
        <w:rPr>
          <w:rFonts w:asciiTheme="majorHAnsi" w:eastAsiaTheme="majorEastAsia" w:hAnsiTheme="majorHAnsi" w:cstheme="majorBidi"/>
          <w:bCs/>
          <w:lang w:eastAsia="en-US"/>
        </w:rPr>
        <w:t>T</w:t>
      </w:r>
      <w:r w:rsidRPr="00012C6E">
        <w:rPr>
          <w:rFonts w:asciiTheme="majorHAnsi" w:eastAsiaTheme="majorEastAsia" w:hAnsiTheme="majorHAnsi" w:cstheme="majorBidi"/>
          <w:bCs/>
          <w:lang w:eastAsia="en-US"/>
        </w:rPr>
        <w:t>WiORB)</w:t>
      </w:r>
      <w:r w:rsidR="00DF74A8" w:rsidRPr="00012C6E">
        <w:rPr>
          <w:rFonts w:asciiTheme="majorHAnsi" w:eastAsiaTheme="majorEastAsia" w:hAnsiTheme="majorHAnsi" w:cstheme="majorBidi"/>
          <w:lang w:eastAsia="en-US"/>
        </w:rPr>
        <w:t xml:space="preserve">– </w:t>
      </w:r>
      <w:r w:rsidR="00DF74A8" w:rsidRPr="00012C6E">
        <w:rPr>
          <w:rFonts w:asciiTheme="majorHAnsi" w:eastAsiaTheme="majorEastAsia" w:hAnsiTheme="majorHAnsi" w:cstheme="majorBidi"/>
          <w:b/>
          <w:lang w:eastAsia="en-US"/>
        </w:rPr>
        <w:t xml:space="preserve">załącznik nr </w:t>
      </w:r>
      <w:r w:rsidR="00A859C6" w:rsidRPr="00012C6E">
        <w:rPr>
          <w:rFonts w:asciiTheme="majorHAnsi" w:eastAsiaTheme="majorEastAsia" w:hAnsiTheme="majorHAnsi" w:cstheme="majorBidi"/>
          <w:b/>
          <w:lang w:eastAsia="en-US"/>
        </w:rPr>
        <w:t>7</w:t>
      </w:r>
      <w:r w:rsidR="00DF74A8" w:rsidRPr="00012C6E">
        <w:rPr>
          <w:rFonts w:asciiTheme="majorHAnsi" w:eastAsiaTheme="majorEastAsia" w:hAnsiTheme="majorHAnsi" w:cstheme="majorBidi"/>
          <w:b/>
          <w:lang w:eastAsia="en-US"/>
        </w:rPr>
        <w:t xml:space="preserve"> do SWZ</w:t>
      </w:r>
    </w:p>
    <w:p w14:paraId="28962E13" w14:textId="30CBD562" w:rsidR="00DF74A8" w:rsidRPr="00012C6E" w:rsidRDefault="00D62798" w:rsidP="007711F6">
      <w:pPr>
        <w:numPr>
          <w:ilvl w:val="0"/>
          <w:numId w:val="4"/>
        </w:numPr>
        <w:spacing w:after="200" w:line="252" w:lineRule="auto"/>
        <w:ind w:left="567" w:hanging="283"/>
        <w:contextualSpacing/>
        <w:jc w:val="both"/>
        <w:rPr>
          <w:rFonts w:asciiTheme="majorHAnsi" w:eastAsiaTheme="majorEastAsia" w:hAnsiTheme="majorHAnsi" w:cstheme="majorBidi"/>
          <w:b/>
          <w:bCs/>
          <w:lang w:eastAsia="en-US"/>
        </w:rPr>
      </w:pPr>
      <w:r w:rsidRPr="00012C6E">
        <w:rPr>
          <w:rFonts w:asciiTheme="majorHAnsi" w:eastAsiaTheme="majorEastAsia" w:hAnsiTheme="majorHAnsi" w:cstheme="majorBidi"/>
          <w:bCs/>
          <w:lang w:eastAsia="en-US"/>
        </w:rPr>
        <w:t>pomocnicz</w:t>
      </w:r>
      <w:r w:rsidR="00012C6E" w:rsidRPr="00012C6E">
        <w:rPr>
          <w:rFonts w:asciiTheme="majorHAnsi" w:eastAsiaTheme="majorEastAsia" w:hAnsiTheme="majorHAnsi" w:cstheme="majorBidi"/>
          <w:bCs/>
          <w:lang w:eastAsia="en-US"/>
        </w:rPr>
        <w:t>e</w:t>
      </w:r>
      <w:r w:rsidRPr="00012C6E">
        <w:rPr>
          <w:rFonts w:asciiTheme="majorHAnsi" w:eastAsiaTheme="majorEastAsia" w:hAnsiTheme="majorHAnsi" w:cstheme="majorBidi"/>
          <w:bCs/>
          <w:lang w:eastAsia="en-US"/>
        </w:rPr>
        <w:t xml:space="preserve"> </w:t>
      </w:r>
      <w:r w:rsidR="00DF74A8" w:rsidRPr="00012C6E">
        <w:rPr>
          <w:rFonts w:asciiTheme="majorHAnsi" w:eastAsiaTheme="majorEastAsia" w:hAnsiTheme="majorHAnsi" w:cstheme="majorBidi"/>
          <w:bCs/>
          <w:lang w:eastAsia="en-US"/>
        </w:rPr>
        <w:t>kosztorys</w:t>
      </w:r>
      <w:r w:rsidR="00012C6E" w:rsidRPr="00012C6E">
        <w:rPr>
          <w:rFonts w:asciiTheme="majorHAnsi" w:eastAsiaTheme="majorEastAsia" w:hAnsiTheme="majorHAnsi" w:cstheme="majorBidi"/>
          <w:bCs/>
          <w:lang w:eastAsia="en-US"/>
        </w:rPr>
        <w:t>y</w:t>
      </w:r>
      <w:r w:rsidR="004462F3" w:rsidRPr="00012C6E">
        <w:rPr>
          <w:rFonts w:asciiTheme="majorHAnsi" w:eastAsiaTheme="majorEastAsia" w:hAnsiTheme="majorHAnsi" w:cstheme="majorBidi"/>
          <w:bCs/>
          <w:lang w:eastAsia="en-US"/>
        </w:rPr>
        <w:t xml:space="preserve"> o</w:t>
      </w:r>
      <w:r w:rsidR="00012C6E" w:rsidRPr="00012C6E">
        <w:rPr>
          <w:rFonts w:asciiTheme="majorHAnsi" w:eastAsiaTheme="majorEastAsia" w:hAnsiTheme="majorHAnsi" w:cstheme="majorBidi"/>
          <w:bCs/>
          <w:lang w:eastAsia="en-US"/>
        </w:rPr>
        <w:t>fertowe</w:t>
      </w:r>
      <w:r w:rsidR="00541FE9" w:rsidRPr="00012C6E">
        <w:rPr>
          <w:rFonts w:asciiTheme="majorHAnsi" w:eastAsiaTheme="majorEastAsia" w:hAnsiTheme="majorHAnsi" w:cstheme="majorBidi"/>
          <w:bCs/>
          <w:lang w:eastAsia="en-US"/>
        </w:rPr>
        <w:t xml:space="preserve"> i przedmiar</w:t>
      </w:r>
      <w:r w:rsidR="00012C6E" w:rsidRPr="00012C6E">
        <w:rPr>
          <w:rFonts w:asciiTheme="majorHAnsi" w:eastAsiaTheme="majorEastAsia" w:hAnsiTheme="majorHAnsi" w:cstheme="majorBidi"/>
          <w:bCs/>
          <w:lang w:eastAsia="en-US"/>
        </w:rPr>
        <w:t>y</w:t>
      </w:r>
      <w:r w:rsidR="00541FE9" w:rsidRPr="00012C6E">
        <w:rPr>
          <w:rFonts w:asciiTheme="majorHAnsi" w:eastAsiaTheme="majorEastAsia" w:hAnsiTheme="majorHAnsi" w:cstheme="majorBidi"/>
          <w:bCs/>
          <w:lang w:eastAsia="en-US"/>
        </w:rPr>
        <w:t xml:space="preserve"> robót</w:t>
      </w:r>
      <w:r w:rsidR="007515D3" w:rsidRPr="00012C6E">
        <w:rPr>
          <w:rFonts w:asciiTheme="majorHAnsi" w:eastAsiaTheme="majorEastAsia" w:hAnsiTheme="majorHAnsi" w:cstheme="majorBidi"/>
          <w:lang w:eastAsia="en-US"/>
        </w:rPr>
        <w:t xml:space="preserve">– </w:t>
      </w:r>
      <w:r w:rsidR="007515D3" w:rsidRPr="00012C6E">
        <w:rPr>
          <w:rFonts w:asciiTheme="majorHAnsi" w:eastAsiaTheme="majorEastAsia" w:hAnsiTheme="majorHAnsi" w:cstheme="majorBidi"/>
          <w:b/>
          <w:lang w:eastAsia="en-US"/>
        </w:rPr>
        <w:t xml:space="preserve">załącznik nr </w:t>
      </w:r>
      <w:r w:rsidR="00A859C6" w:rsidRPr="00012C6E">
        <w:rPr>
          <w:rFonts w:asciiTheme="majorHAnsi" w:eastAsiaTheme="majorEastAsia" w:hAnsiTheme="majorHAnsi" w:cstheme="majorBidi"/>
          <w:b/>
          <w:lang w:eastAsia="en-US"/>
        </w:rPr>
        <w:t>8</w:t>
      </w:r>
      <w:r w:rsidR="007515D3" w:rsidRPr="00012C6E">
        <w:rPr>
          <w:rFonts w:asciiTheme="majorHAnsi" w:eastAsiaTheme="majorEastAsia" w:hAnsiTheme="majorHAnsi" w:cstheme="majorBidi"/>
          <w:b/>
          <w:lang w:eastAsia="en-US"/>
        </w:rPr>
        <w:t xml:space="preserve"> do S</w:t>
      </w:r>
      <w:r w:rsidR="00DF74A8" w:rsidRPr="00012C6E">
        <w:rPr>
          <w:rFonts w:asciiTheme="majorHAnsi" w:eastAsiaTheme="majorEastAsia" w:hAnsiTheme="majorHAnsi" w:cstheme="majorBidi"/>
          <w:b/>
          <w:lang w:eastAsia="en-US"/>
        </w:rPr>
        <w:t>WZ</w:t>
      </w:r>
    </w:p>
    <w:p w14:paraId="7A5E1A38" w14:textId="020C2FE6" w:rsidR="00AA4F20" w:rsidRPr="00012C6E" w:rsidRDefault="00DF74A8" w:rsidP="007711F6">
      <w:pPr>
        <w:numPr>
          <w:ilvl w:val="0"/>
          <w:numId w:val="4"/>
        </w:numPr>
        <w:spacing w:after="200" w:line="252" w:lineRule="auto"/>
        <w:ind w:left="567" w:hanging="283"/>
        <w:contextualSpacing/>
        <w:jc w:val="both"/>
        <w:rPr>
          <w:rFonts w:asciiTheme="majorHAnsi" w:eastAsiaTheme="majorEastAsia" w:hAnsiTheme="majorHAnsi" w:cstheme="majorBidi"/>
          <w:b/>
          <w:lang w:eastAsia="en-US"/>
        </w:rPr>
      </w:pPr>
      <w:r w:rsidRPr="00012C6E">
        <w:rPr>
          <w:rFonts w:asciiTheme="majorHAnsi" w:eastAsiaTheme="majorEastAsia" w:hAnsiTheme="majorHAnsi" w:cstheme="majorBidi"/>
          <w:lang w:eastAsia="en-US"/>
        </w:rPr>
        <w:t>wzór</w:t>
      </w:r>
      <w:r w:rsidR="00A87478" w:rsidRPr="00012C6E">
        <w:rPr>
          <w:rFonts w:asciiTheme="majorHAnsi" w:eastAsiaTheme="majorEastAsia" w:hAnsiTheme="majorHAnsi" w:cstheme="majorBidi"/>
          <w:lang w:eastAsia="en-US"/>
        </w:rPr>
        <w:t xml:space="preserve"> umowy</w:t>
      </w:r>
      <w:r w:rsidR="007515D3" w:rsidRPr="00012C6E">
        <w:rPr>
          <w:rFonts w:asciiTheme="majorHAnsi" w:eastAsiaTheme="majorEastAsia" w:hAnsiTheme="majorHAnsi" w:cstheme="majorBidi"/>
          <w:lang w:eastAsia="en-US"/>
        </w:rPr>
        <w:t xml:space="preserve"> –</w:t>
      </w:r>
      <w:r w:rsidR="001C6A9E" w:rsidRPr="00012C6E">
        <w:rPr>
          <w:rFonts w:asciiTheme="majorHAnsi" w:eastAsiaTheme="majorEastAsia" w:hAnsiTheme="majorHAnsi" w:cstheme="majorBidi"/>
          <w:lang w:eastAsia="en-US"/>
        </w:rPr>
        <w:t xml:space="preserve"> </w:t>
      </w:r>
      <w:r w:rsidR="007515D3" w:rsidRPr="00012C6E">
        <w:rPr>
          <w:rFonts w:asciiTheme="majorHAnsi" w:eastAsiaTheme="majorEastAsia" w:hAnsiTheme="majorHAnsi" w:cstheme="majorBidi"/>
          <w:b/>
          <w:lang w:eastAsia="en-US"/>
        </w:rPr>
        <w:t xml:space="preserve">załącznik nr </w:t>
      </w:r>
      <w:r w:rsidRPr="00012C6E">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E51AD">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EE51AD">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 xml:space="preserve">obowiązany wykazać, że oferowane przez niego rozwiązanie spełnia wymagania określone przez </w:t>
      </w:r>
      <w:r w:rsidRPr="00665775">
        <w:rPr>
          <w:rFonts w:asciiTheme="majorHAnsi" w:eastAsiaTheme="majorEastAsia" w:hAnsiTheme="majorHAnsi" w:cstheme="majorBidi"/>
          <w:lang w:eastAsia="en-US"/>
        </w:rPr>
        <w:lastRenderedPageBreak/>
        <w:t>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EE51AD">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EE51AD">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EE51AD">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EE51AD">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w:t>
      </w:r>
      <w:r w:rsidRPr="000A1AC4">
        <w:rPr>
          <w:rFonts w:ascii="Cambria" w:hAnsi="Cambria"/>
        </w:rPr>
        <w:lastRenderedPageBreak/>
        <w:t>nazwisko zatrudnionego pracownika, datę zawarcia umowy o pracę, rodzaj umowy o pracę i zakres obowiązków pracownika.</w:t>
      </w:r>
    </w:p>
    <w:p w14:paraId="57AB39B5"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EE51AD">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3B95179" w:rsidR="00020159" w:rsidRPr="0032648B" w:rsidRDefault="00AA4F20" w:rsidP="00EE51AD">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EE19BE">
        <w:rPr>
          <w:rFonts w:asciiTheme="majorHAnsi" w:eastAsiaTheme="majorEastAsia" w:hAnsiTheme="majorHAnsi" w:cstheme="majorBidi"/>
          <w:lang w:eastAsia="en-US"/>
        </w:rPr>
        <w:t xml:space="preserve">w terminie </w:t>
      </w:r>
      <w:r w:rsidR="00EE19BE" w:rsidRPr="0032648B">
        <w:rPr>
          <w:rFonts w:asciiTheme="majorHAnsi" w:eastAsiaTheme="majorEastAsia" w:hAnsiTheme="majorHAnsi" w:cstheme="majorBidi"/>
          <w:b/>
          <w:lang w:eastAsia="en-US"/>
        </w:rPr>
        <w:t xml:space="preserve">do </w:t>
      </w:r>
      <w:r w:rsidR="003F385F" w:rsidRPr="0032648B">
        <w:rPr>
          <w:rFonts w:asciiTheme="majorHAnsi" w:eastAsiaTheme="majorEastAsia" w:hAnsiTheme="majorHAnsi" w:cstheme="majorBidi"/>
          <w:b/>
          <w:lang w:eastAsia="en-US"/>
        </w:rPr>
        <w:t>6</w:t>
      </w:r>
      <w:r w:rsidR="00EE19BE" w:rsidRPr="0032648B">
        <w:rPr>
          <w:rFonts w:asciiTheme="majorHAnsi" w:eastAsiaTheme="majorEastAsia" w:hAnsiTheme="majorHAnsi" w:cstheme="majorBidi"/>
          <w:b/>
          <w:lang w:eastAsia="en-US"/>
        </w:rPr>
        <w:t xml:space="preserve"> miesięcy od dnia podpisania umowy.</w:t>
      </w:r>
    </w:p>
    <w:p w14:paraId="3037F29E" w14:textId="43E486A4" w:rsidR="00EC45FB" w:rsidRPr="0034161F" w:rsidRDefault="00020159" w:rsidP="00EE51AD">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4C3559ED" w14:textId="77777777" w:rsidR="0034161F" w:rsidRPr="00BE4EF3" w:rsidRDefault="0034161F" w:rsidP="0034161F">
      <w:pPr>
        <w:pStyle w:val="Akapitzlist"/>
        <w:ind w:left="284"/>
        <w:jc w:val="both"/>
        <w:rPr>
          <w:rFonts w:asciiTheme="majorHAnsi" w:eastAsiaTheme="majorEastAsia" w:hAnsiTheme="majorHAnsi" w:cstheme="majorBidi"/>
          <w:b/>
          <w:bCs/>
          <w:lang w:eastAsia="en-US"/>
        </w:rPr>
      </w:pPr>
    </w:p>
    <w:p w14:paraId="14051EC8" w14:textId="023C93C6" w:rsidR="00587F52" w:rsidRPr="00773D17" w:rsidRDefault="00F04C1F" w:rsidP="00EE51AD">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EE51AD">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3FDF6333" w14:textId="28A99DDD" w:rsidR="00484329" w:rsidRPr="0087098D" w:rsidRDefault="002E2F67" w:rsidP="00484329">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09C3050A" w14:textId="68A642A0" w:rsidR="00590214" w:rsidRPr="005A25FA" w:rsidRDefault="00C33307" w:rsidP="00590214">
      <w:pPr>
        <w:pStyle w:val="Akapitzlist"/>
        <w:numPr>
          <w:ilvl w:val="0"/>
          <w:numId w:val="47"/>
        </w:numPr>
        <w:ind w:left="993" w:hanging="219"/>
        <w:jc w:val="both"/>
        <w:rPr>
          <w:rFonts w:asciiTheme="majorHAnsi" w:eastAsiaTheme="minorHAnsi" w:hAnsiTheme="majorHAnsi"/>
          <w:lang w:eastAsia="en-US"/>
        </w:rPr>
      </w:pPr>
      <w:r w:rsidRPr="00590214">
        <w:rPr>
          <w:rFonts w:asciiTheme="majorHAnsi" w:hAnsiTheme="majorHAnsi"/>
          <w:szCs w:val="20"/>
        </w:rPr>
        <w:t xml:space="preserve">w okresie </w:t>
      </w:r>
      <w:r w:rsidRPr="00590214">
        <w:rPr>
          <w:rFonts w:ascii="Cambria" w:hAnsi="Cambria"/>
          <w:szCs w:val="20"/>
        </w:rPr>
        <w:t>ostatnich 5 lat przed upływem terminu składania ofert, a jeżeli okres prowad</w:t>
      </w:r>
      <w:r w:rsidR="00BD2056" w:rsidRPr="00590214">
        <w:rPr>
          <w:rFonts w:ascii="Cambria" w:hAnsi="Cambria"/>
          <w:szCs w:val="20"/>
        </w:rPr>
        <w:t>zenia działalności jest krótszy</w:t>
      </w:r>
      <w:r w:rsidRPr="00590214">
        <w:rPr>
          <w:rFonts w:ascii="Cambria" w:hAnsi="Cambria"/>
          <w:szCs w:val="20"/>
        </w:rPr>
        <w:t xml:space="preserve">- </w:t>
      </w:r>
      <w:r w:rsidR="00590214" w:rsidRPr="005F37D7">
        <w:rPr>
          <w:rFonts w:asciiTheme="majorHAnsi" w:hAnsiTheme="majorHAnsi"/>
          <w:szCs w:val="20"/>
        </w:rPr>
        <w:t>w tym okresie, na drogach kategorii: gminnej, powiatowej, wojewódzkiej lub krajowej, wykonał należycie co</w:t>
      </w:r>
      <w:r w:rsidR="00590214">
        <w:rPr>
          <w:rFonts w:asciiTheme="majorHAnsi" w:hAnsiTheme="majorHAnsi"/>
          <w:szCs w:val="20"/>
        </w:rPr>
        <w:t xml:space="preserve"> najmniej</w:t>
      </w:r>
      <w:r w:rsidR="00590214" w:rsidRPr="005F37D7">
        <w:rPr>
          <w:rFonts w:asciiTheme="majorHAnsi" w:hAnsiTheme="majorHAnsi"/>
          <w:szCs w:val="20"/>
        </w:rPr>
        <w:t xml:space="preserve"> </w:t>
      </w:r>
      <w:r w:rsidR="00590214">
        <w:rPr>
          <w:rFonts w:asciiTheme="majorHAnsi" w:hAnsiTheme="majorHAnsi"/>
        </w:rPr>
        <w:t>jedna budowa</w:t>
      </w:r>
      <w:r w:rsidR="00590214" w:rsidRPr="00E254DB">
        <w:rPr>
          <w:rFonts w:asciiTheme="majorHAnsi" w:hAnsiTheme="majorHAnsi"/>
        </w:rPr>
        <w:t>/przebudow</w:t>
      </w:r>
      <w:r w:rsidR="00590214">
        <w:rPr>
          <w:rFonts w:asciiTheme="majorHAnsi" w:hAnsiTheme="majorHAnsi"/>
        </w:rPr>
        <w:t xml:space="preserve">a/rozbudowa drogi o nawierzchni </w:t>
      </w:r>
      <w:r w:rsidR="00590214" w:rsidRPr="00E254DB">
        <w:rPr>
          <w:rFonts w:asciiTheme="majorHAnsi" w:hAnsiTheme="majorHAnsi"/>
        </w:rPr>
        <w:t xml:space="preserve">bitumicznej o powierzchni nie mniejszej niż </w:t>
      </w:r>
      <w:r w:rsidR="00590214">
        <w:rPr>
          <w:rFonts w:asciiTheme="majorHAnsi" w:hAnsiTheme="majorHAnsi"/>
        </w:rPr>
        <w:t>10 0</w:t>
      </w:r>
      <w:r w:rsidR="00590214" w:rsidRPr="00E254DB">
        <w:rPr>
          <w:rFonts w:asciiTheme="majorHAnsi" w:hAnsiTheme="majorHAnsi"/>
        </w:rPr>
        <w:t>00 m</w:t>
      </w:r>
      <w:r w:rsidR="00590214" w:rsidRPr="00E254DB">
        <w:rPr>
          <w:rFonts w:asciiTheme="majorHAnsi" w:hAnsiTheme="majorHAnsi"/>
          <w:vertAlign w:val="superscript"/>
        </w:rPr>
        <w:t>2</w:t>
      </w:r>
      <w:r w:rsidR="00590214" w:rsidRPr="00E254DB">
        <w:rPr>
          <w:rFonts w:asciiTheme="majorHAnsi" w:hAnsiTheme="majorHAnsi"/>
        </w:rPr>
        <w:t xml:space="preserve"> </w:t>
      </w:r>
      <w:r w:rsidR="00590214" w:rsidRPr="005F37D7">
        <w:rPr>
          <w:rFonts w:asciiTheme="majorHAnsi" w:eastAsiaTheme="minorHAnsi" w:hAnsiTheme="majorHAnsi"/>
          <w:lang w:eastAsia="en-US"/>
        </w:rPr>
        <w:t>(</w:t>
      </w:r>
      <w:r w:rsidR="00590214" w:rsidRPr="005A25FA">
        <w:rPr>
          <w:rFonts w:asciiTheme="majorHAnsi" w:eastAsiaTheme="minorHAnsi" w:hAnsiTheme="majorHAnsi"/>
          <w:b/>
          <w:bCs/>
          <w:lang w:eastAsia="en-US"/>
        </w:rPr>
        <w:t>Załącznik nr 4 do SWZ</w:t>
      </w:r>
      <w:r w:rsidR="00590214" w:rsidRPr="005A25FA">
        <w:rPr>
          <w:rFonts w:asciiTheme="majorHAnsi" w:eastAsiaTheme="minorHAnsi" w:hAnsiTheme="majorHAnsi"/>
          <w:lang w:eastAsia="en-US"/>
        </w:rPr>
        <w:t xml:space="preserve">). </w:t>
      </w:r>
    </w:p>
    <w:p w14:paraId="0407CDBB" w14:textId="64C236F3" w:rsidR="003A6420" w:rsidRPr="00590214" w:rsidRDefault="003A6420" w:rsidP="00590214">
      <w:pPr>
        <w:pStyle w:val="Akapitzlist"/>
        <w:ind w:left="993"/>
        <w:jc w:val="both"/>
        <w:rPr>
          <w:rFonts w:ascii="Cambria" w:eastAsiaTheme="minorHAnsi" w:hAnsi="Cambria"/>
          <w:lang w:eastAsia="en-US"/>
        </w:rPr>
      </w:pPr>
    </w:p>
    <w:p w14:paraId="53E6A0C4" w14:textId="193D867A"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EE51AD">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EE51AD">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lastRenderedPageBreak/>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EE51AD">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EE51AD">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EE51AD">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EE51AD">
      <w:pPr>
        <w:pStyle w:val="Akapitzlist"/>
        <w:numPr>
          <w:ilvl w:val="0"/>
          <w:numId w:val="39"/>
        </w:numPr>
        <w:jc w:val="both"/>
        <w:rPr>
          <w:rFonts w:ascii="Cambria" w:eastAsiaTheme="minorHAnsi" w:hAnsi="Cambria"/>
          <w:lang w:eastAsia="en-US"/>
        </w:rPr>
      </w:pPr>
      <w:r w:rsidRPr="009F75C5">
        <w:rPr>
          <w:rFonts w:asciiTheme="majorHAnsi" w:hAnsiTheme="majorHAnsi"/>
          <w:bCs/>
        </w:rPr>
        <w:lastRenderedPageBreak/>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EE51AD">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EE51AD">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EE51AD">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EE51AD">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EE51AD">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EE51AD">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EE51AD">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EE51AD">
      <w:pPr>
        <w:pStyle w:val="Akapitzlist"/>
        <w:numPr>
          <w:ilvl w:val="0"/>
          <w:numId w:val="54"/>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dotyczącego środków ograniczających w związku z sytuacją na Białorusi i udziałem Białorusi w agresji Rosji wobec Ukrainy (Dz. Urz. UE L 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w:t>
      </w:r>
      <w:r w:rsidR="00514C8D">
        <w:rPr>
          <w:rFonts w:ascii="Cambria" w:hAnsi="Cambria" w:cs="Arial"/>
        </w:rPr>
        <w:lastRenderedPageBreak/>
        <w:t xml:space="preserve">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EE51AD">
      <w:pPr>
        <w:pStyle w:val="Akapitzlist"/>
        <w:numPr>
          <w:ilvl w:val="0"/>
          <w:numId w:val="79"/>
        </w:numPr>
        <w:autoSpaceDE w:val="0"/>
        <w:autoSpaceDN w:val="0"/>
        <w:spacing w:before="120" w:after="120"/>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EE51AD">
      <w:pPr>
        <w:pStyle w:val="Akapitzlist"/>
        <w:numPr>
          <w:ilvl w:val="1"/>
          <w:numId w:val="54"/>
        </w:numPr>
        <w:autoSpaceDE w:val="0"/>
        <w:autoSpaceDN w:val="0"/>
        <w:spacing w:before="120" w:after="120"/>
        <w:ind w:left="993" w:hanging="567"/>
        <w:jc w:val="both"/>
        <w:rPr>
          <w:rFonts w:ascii="Cambria" w:hAnsi="Cambria" w:cs="Arial"/>
        </w:rPr>
      </w:pPr>
      <w:r w:rsidRPr="000D32E7">
        <w:rPr>
          <w:rFonts w:ascii="Cambria" w:hAnsi="Cambria" w:cs="Arial"/>
        </w:rPr>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lastRenderedPageBreak/>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 xml:space="preserve">wykonawca w terminie określonym przez </w:t>
      </w:r>
      <w:r w:rsidRPr="000D5D50">
        <w:rPr>
          <w:rFonts w:ascii="Cambria" w:hAnsi="Cambria"/>
        </w:rPr>
        <w:lastRenderedPageBreak/>
        <w:t>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EE51AD">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EE51AD">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EE51AD">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EE51AD">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EE51AD">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EE51AD">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6CB94CCA" w:rsidR="00887365" w:rsidRPr="00395B8E"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02692711" w14:textId="7325B4D8" w:rsidR="00395B8E" w:rsidRDefault="0078519A" w:rsidP="00D109B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423C98">
        <w:rPr>
          <w:rFonts w:ascii="Cambria" w:hAnsi="Cambria"/>
          <w:b/>
        </w:rPr>
        <w:t>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85C4C5" w14:textId="77777777" w:rsidR="00D109B0" w:rsidRPr="00D109B0" w:rsidRDefault="00D109B0" w:rsidP="00D109B0">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3877C885" w:rsidR="006C4217" w:rsidRPr="007033FD" w:rsidRDefault="00D62798" w:rsidP="007033FD">
      <w:pPr>
        <w:pStyle w:val="Tekstpodstawowy"/>
        <w:numPr>
          <w:ilvl w:val="0"/>
          <w:numId w:val="27"/>
        </w:numPr>
        <w:spacing w:after="0"/>
        <w:ind w:right="20"/>
        <w:jc w:val="both"/>
        <w:rPr>
          <w:rFonts w:ascii="Cambria" w:hAnsi="Cambria"/>
        </w:rPr>
      </w:pPr>
      <w:r>
        <w:rPr>
          <w:rFonts w:ascii="Cambria" w:hAnsi="Cambria"/>
          <w:b/>
        </w:rPr>
        <w:t>Pomocnicz</w:t>
      </w:r>
      <w:r w:rsidR="00012C6E">
        <w:rPr>
          <w:rFonts w:ascii="Cambria" w:hAnsi="Cambria"/>
          <w:b/>
        </w:rPr>
        <w:t>e</w:t>
      </w:r>
      <w:r>
        <w:rPr>
          <w:rFonts w:ascii="Cambria" w:hAnsi="Cambria"/>
          <w:b/>
        </w:rPr>
        <w:t xml:space="preserve"> k</w:t>
      </w:r>
      <w:r w:rsidR="006C4217" w:rsidRPr="007F0D8A">
        <w:rPr>
          <w:rFonts w:ascii="Cambria" w:hAnsi="Cambria"/>
          <w:b/>
        </w:rPr>
        <w:t>osztorys</w:t>
      </w:r>
      <w:r w:rsidR="00012C6E">
        <w:rPr>
          <w:rFonts w:ascii="Cambria" w:hAnsi="Cambria"/>
          <w:b/>
        </w:rPr>
        <w:t>y</w:t>
      </w:r>
      <w:r w:rsidR="006C4217" w:rsidRPr="007F0D8A">
        <w:rPr>
          <w:rFonts w:ascii="Cambria" w:hAnsi="Cambria"/>
          <w:b/>
        </w:rPr>
        <w:t xml:space="preserve"> ofertow</w:t>
      </w:r>
      <w:r w:rsidR="00012C6E">
        <w:rPr>
          <w:rFonts w:ascii="Cambria" w:hAnsi="Cambria"/>
          <w:b/>
        </w:rPr>
        <w:t>e</w:t>
      </w:r>
      <w:r w:rsidR="00B151CB" w:rsidRPr="007033FD">
        <w:rPr>
          <w:rFonts w:ascii="Cambria" w:hAnsi="Cambria"/>
          <w:b/>
        </w:rPr>
        <w:t xml:space="preserve"> wraz z przedmiar</w:t>
      </w:r>
      <w:r w:rsidR="00012C6E">
        <w:rPr>
          <w:rFonts w:ascii="Cambria" w:hAnsi="Cambria"/>
          <w:b/>
        </w:rPr>
        <w:t>ami</w:t>
      </w:r>
      <w:r w:rsidR="00B151CB" w:rsidRPr="007033FD">
        <w:rPr>
          <w:rFonts w:ascii="Cambria" w:hAnsi="Cambria"/>
          <w:b/>
        </w:rPr>
        <w:t xml:space="preserve"> robót</w:t>
      </w:r>
      <w:r w:rsidR="006C4217" w:rsidRPr="007033FD">
        <w:rPr>
          <w:rFonts w:ascii="Cambria" w:hAnsi="Cambria"/>
          <w:b/>
        </w:rPr>
        <w:t xml:space="preserve"> (załącznik nr </w:t>
      </w:r>
      <w:r w:rsidR="00A859C6" w:rsidRPr="007033FD">
        <w:rPr>
          <w:rFonts w:ascii="Cambria" w:hAnsi="Cambria"/>
          <w:b/>
        </w:rPr>
        <w:t>8</w:t>
      </w:r>
      <w:r w:rsidR="006C4217" w:rsidRPr="007033FD">
        <w:rPr>
          <w:rFonts w:ascii="Cambria" w:hAnsi="Cambria"/>
          <w:b/>
        </w:rPr>
        <w:t xml:space="preserve">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1D1696D2" w14:textId="4806733C" w:rsidR="006C4217" w:rsidRPr="00773D17" w:rsidRDefault="00D62798" w:rsidP="00AB7DAF">
      <w:pPr>
        <w:pStyle w:val="Tekstpodstawowy"/>
        <w:spacing w:after="0"/>
        <w:ind w:right="20"/>
        <w:jc w:val="both"/>
        <w:rPr>
          <w:rFonts w:ascii="Cambria" w:hAnsi="Cambria"/>
        </w:rPr>
      </w:pPr>
      <w:r>
        <w:rPr>
          <w:rFonts w:ascii="Cambria" w:hAnsi="Cambria"/>
        </w:rPr>
        <w:t>Pomocnicz</w:t>
      </w:r>
      <w:r w:rsidR="00012C6E">
        <w:rPr>
          <w:rFonts w:ascii="Cambria" w:hAnsi="Cambria"/>
        </w:rPr>
        <w:t>e</w:t>
      </w:r>
      <w:r>
        <w:rPr>
          <w:rFonts w:ascii="Cambria" w:hAnsi="Cambria"/>
        </w:rPr>
        <w:t xml:space="preserve"> k</w:t>
      </w:r>
      <w:r w:rsidR="006C4217">
        <w:rPr>
          <w:rFonts w:ascii="Cambria" w:hAnsi="Cambria"/>
        </w:rPr>
        <w:t>osztorys</w:t>
      </w:r>
      <w:r w:rsidR="00012C6E">
        <w:rPr>
          <w:rFonts w:ascii="Cambria" w:hAnsi="Cambria"/>
        </w:rPr>
        <w:t>y ofertowe</w:t>
      </w:r>
      <w:r w:rsidR="006C4217" w:rsidRPr="00773D17">
        <w:rPr>
          <w:rFonts w:ascii="Cambria" w:hAnsi="Cambria"/>
        </w:rPr>
        <w:t xml:space="preserve"> </w:t>
      </w:r>
      <w:r w:rsidR="00012C6E">
        <w:rPr>
          <w:rFonts w:ascii="Cambria" w:hAnsi="Cambria"/>
        </w:rPr>
        <w:t>wraz z przedmiara</w:t>
      </w:r>
      <w:r w:rsidR="00462A97">
        <w:rPr>
          <w:rFonts w:ascii="Cambria" w:hAnsi="Cambria"/>
        </w:rPr>
        <w:t>m</w:t>
      </w:r>
      <w:r w:rsidR="00012C6E">
        <w:rPr>
          <w:rFonts w:ascii="Cambria" w:hAnsi="Cambria"/>
        </w:rPr>
        <w:t>i</w:t>
      </w:r>
      <w:r w:rsidR="00B151CB">
        <w:rPr>
          <w:rFonts w:ascii="Cambria" w:hAnsi="Cambria"/>
        </w:rPr>
        <w:t xml:space="preserve"> robót </w:t>
      </w:r>
      <w:r w:rsidR="006C4217" w:rsidRPr="00773D17">
        <w:rPr>
          <w:rFonts w:ascii="Cambria" w:hAnsi="Cambria"/>
        </w:rPr>
        <w:t>mus</w:t>
      </w:r>
      <w:r w:rsidR="007033FD">
        <w:rPr>
          <w:rFonts w:ascii="Cambria" w:hAnsi="Cambria"/>
        </w:rPr>
        <w:t>zą</w:t>
      </w:r>
      <w:r w:rsidR="006C4217">
        <w:rPr>
          <w:rFonts w:ascii="Cambria" w:hAnsi="Cambria"/>
        </w:rPr>
        <w:t xml:space="preserve"> być złożon</w:t>
      </w:r>
      <w:r w:rsidR="007033FD">
        <w:rPr>
          <w:rFonts w:ascii="Cambria" w:hAnsi="Cambria"/>
        </w:rPr>
        <w:t>e</w:t>
      </w:r>
      <w:r w:rsidR="006C4217"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EE51AD">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EE51AD">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EE51AD">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EE51AD">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lastRenderedPageBreak/>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EE51AD">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EE51AD">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EE51AD">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7BBED876" w:rsidR="007B72CA" w:rsidRDefault="00395B8E" w:rsidP="007B72CA">
      <w:pPr>
        <w:ind w:left="-142"/>
        <w:jc w:val="both"/>
        <w:rPr>
          <w:rFonts w:ascii="Cambria" w:hAnsi="Cambria" w:cs="Arial"/>
        </w:rPr>
      </w:pPr>
      <w:r w:rsidRPr="00395B8E">
        <w:rPr>
          <w:rFonts w:ascii="Cambria" w:hAnsi="Cambria" w:cs="Arial"/>
          <w:b/>
        </w:rPr>
        <w:t xml:space="preserve">   </w:t>
      </w:r>
      <w:r w:rsidRPr="00395B8E">
        <w:rPr>
          <w:rFonts w:ascii="Cambria" w:hAnsi="Cambria" w:cs="Arial"/>
        </w:rPr>
        <w:t>Zamawiający nie wymaga wpłaty wadium</w:t>
      </w:r>
    </w:p>
    <w:p w14:paraId="388AB182" w14:textId="77777777" w:rsidR="00395B8E" w:rsidRPr="00174D01" w:rsidRDefault="00395B8E"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EE51AD">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7EE8BF06" w:rsidR="005044EC" w:rsidRPr="002C4BDC" w:rsidRDefault="00DA5BE2" w:rsidP="00AE6792">
      <w:pPr>
        <w:pStyle w:val="Akapitzlist"/>
        <w:numPr>
          <w:ilvl w:val="0"/>
          <w:numId w:val="6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A773A7">
        <w:rPr>
          <w:rFonts w:ascii="Cambria" w:hAnsi="Cambria" w:cs="Calibri,Bold"/>
          <w:b/>
          <w:bCs/>
        </w:rPr>
        <w:t>1</w:t>
      </w:r>
      <w:r w:rsidR="00AE6792">
        <w:rPr>
          <w:rFonts w:ascii="Cambria" w:hAnsi="Cambria" w:cs="Calibri,Bold"/>
          <w:b/>
          <w:bCs/>
        </w:rPr>
        <w:t>7</w:t>
      </w:r>
      <w:r w:rsidR="00A773A7">
        <w:rPr>
          <w:rFonts w:ascii="Cambria" w:hAnsi="Cambria" w:cs="Calibri,Bold"/>
          <w:b/>
          <w:bCs/>
        </w:rPr>
        <w:t>.11</w:t>
      </w:r>
      <w:r w:rsidR="00382268" w:rsidRPr="002C4BDC">
        <w:rPr>
          <w:rFonts w:ascii="Cambria" w:hAnsi="Cambria" w:cs="Calibri,Bold"/>
          <w:b/>
          <w:bCs/>
        </w:rPr>
        <w:t>.202</w:t>
      </w:r>
      <w:r w:rsidR="00395B8E">
        <w:rPr>
          <w:rFonts w:ascii="Cambria" w:hAnsi="Cambria" w:cs="Calibri,Bold"/>
          <w:b/>
          <w:bCs/>
        </w:rPr>
        <w:t>3</w:t>
      </w:r>
      <w:r w:rsidR="005044EC" w:rsidRPr="002C4BDC">
        <w:rPr>
          <w:rFonts w:ascii="Cambria" w:hAnsi="Cambria" w:cs="Calibri,Bold"/>
          <w:b/>
          <w:bCs/>
        </w:rPr>
        <w:t xml:space="preserve"> r. do godz. 1</w:t>
      </w:r>
      <w:r w:rsidR="00AE6792">
        <w:rPr>
          <w:rFonts w:ascii="Cambria" w:hAnsi="Cambria" w:cs="Calibri,Bold"/>
          <w:b/>
          <w:bCs/>
        </w:rPr>
        <w:t>2</w:t>
      </w:r>
      <w:r w:rsidR="005044EC" w:rsidRPr="002C4BDC">
        <w:rPr>
          <w:rFonts w:ascii="Cambria" w:hAnsi="Cambria" w:cs="Calibri,Bold"/>
          <w:b/>
          <w:bCs/>
        </w:rPr>
        <w:t>.00.</w:t>
      </w:r>
    </w:p>
    <w:p w14:paraId="1DD9F146" w14:textId="77777777" w:rsidR="005044EC" w:rsidRPr="005044EC" w:rsidRDefault="005044EC" w:rsidP="00EE51AD">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lastRenderedPageBreak/>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EE51AD">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EE51AD">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EE51AD">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EE51AD">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EE51AD">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EE51AD">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EE51AD">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 xml:space="preserve">zamówienia (np. konsorcjum), do oferty powinno zostać załączone </w:t>
      </w:r>
      <w:r w:rsidRPr="0043791D">
        <w:rPr>
          <w:rFonts w:ascii="Cambria" w:hAnsi="Cambria"/>
        </w:rPr>
        <w:lastRenderedPageBreak/>
        <w:t>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EE51AD">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EE51AD">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EE51AD">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EE51AD">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4F991704"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2D36DB">
        <w:rPr>
          <w:rFonts w:asciiTheme="majorHAnsi" w:eastAsiaTheme="majorEastAsia" w:hAnsiTheme="majorHAnsi"/>
          <w:lang w:eastAsia="en-US"/>
        </w:rPr>
        <w:t>dokumentacji technicznej</w:t>
      </w:r>
      <w:r w:rsidR="00CC55BD">
        <w:rPr>
          <w:rFonts w:asciiTheme="majorHAnsi" w:eastAsiaTheme="majorEastAsia" w:hAnsiTheme="majorHAnsi"/>
          <w:lang w:eastAsia="en-US"/>
        </w:rPr>
        <w:t xml:space="preserve">,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przedmiar</w:t>
      </w:r>
      <w:r w:rsidR="00012C6E">
        <w:rPr>
          <w:rFonts w:asciiTheme="majorHAnsi" w:eastAsiaTheme="majorEastAsia" w:hAnsiTheme="majorHAnsi"/>
          <w:lang w:eastAsia="en-US"/>
        </w:rPr>
        <w:t>a</w:t>
      </w:r>
      <w:r w:rsidR="00F307FF">
        <w:rPr>
          <w:rFonts w:asciiTheme="majorHAnsi" w:eastAsiaTheme="majorEastAsia" w:hAnsiTheme="majorHAnsi"/>
          <w:lang w:eastAsia="en-US"/>
        </w:rPr>
        <w:t>m</w:t>
      </w:r>
      <w:r w:rsidR="00012C6E">
        <w:rPr>
          <w:rFonts w:asciiTheme="majorHAnsi" w:eastAsiaTheme="majorEastAsia" w:hAnsiTheme="majorHAnsi"/>
          <w:lang w:eastAsia="en-US"/>
        </w:rPr>
        <w:t>i</w:t>
      </w:r>
      <w:r w:rsidR="00F307FF">
        <w:rPr>
          <w:rFonts w:asciiTheme="majorHAnsi" w:eastAsiaTheme="majorEastAsia" w:hAnsiTheme="majorHAnsi"/>
          <w:lang w:eastAsia="en-US"/>
        </w:rPr>
        <w:t xml:space="preserve"> robót i </w:t>
      </w:r>
      <w:r w:rsidR="00D62798">
        <w:rPr>
          <w:rFonts w:asciiTheme="majorHAnsi" w:eastAsiaTheme="majorEastAsia" w:hAnsiTheme="majorHAnsi"/>
          <w:lang w:eastAsia="en-US"/>
        </w:rPr>
        <w:t>pomocniczym</w:t>
      </w:r>
      <w:r w:rsidR="00012C6E">
        <w:rPr>
          <w:rFonts w:asciiTheme="majorHAnsi" w:eastAsiaTheme="majorEastAsia" w:hAnsiTheme="majorHAnsi"/>
          <w:lang w:eastAsia="en-US"/>
        </w:rPr>
        <w:t>i</w:t>
      </w:r>
      <w:r w:rsidR="00D62798">
        <w:rPr>
          <w:rFonts w:asciiTheme="majorHAnsi" w:eastAsiaTheme="majorEastAsia" w:hAnsiTheme="majorHAnsi"/>
          <w:lang w:eastAsia="en-US"/>
        </w:rPr>
        <w:t xml:space="preserve"> </w:t>
      </w:r>
      <w:r w:rsidR="00F307FF">
        <w:rPr>
          <w:rFonts w:asciiTheme="majorHAnsi" w:eastAsiaTheme="majorEastAsia" w:hAnsiTheme="majorHAnsi"/>
          <w:lang w:eastAsia="en-US"/>
        </w:rPr>
        <w:t>kosztorys</w:t>
      </w:r>
      <w:r w:rsidR="00012C6E">
        <w:rPr>
          <w:rFonts w:asciiTheme="majorHAnsi" w:eastAsiaTheme="majorEastAsia" w:hAnsiTheme="majorHAnsi"/>
          <w:lang w:eastAsia="en-US"/>
        </w:rPr>
        <w:t>a</w:t>
      </w:r>
      <w:r w:rsidR="00462A97">
        <w:rPr>
          <w:rFonts w:asciiTheme="majorHAnsi" w:eastAsiaTheme="majorEastAsia" w:hAnsiTheme="majorHAnsi"/>
          <w:lang w:eastAsia="en-US"/>
        </w:rPr>
        <w:t>m</w:t>
      </w:r>
      <w:r w:rsidR="00012C6E">
        <w:rPr>
          <w:rFonts w:asciiTheme="majorHAnsi" w:eastAsiaTheme="majorEastAsia" w:hAnsiTheme="majorHAnsi"/>
          <w:lang w:eastAsia="en-US"/>
        </w:rPr>
        <w:t>i</w:t>
      </w:r>
      <w:r w:rsidR="00F307FF">
        <w:rPr>
          <w:rFonts w:asciiTheme="majorHAnsi" w:eastAsiaTheme="majorEastAsia" w:hAnsiTheme="majorHAnsi"/>
          <w:lang w:eastAsia="en-US"/>
        </w:rPr>
        <w:t xml:space="preserve"> ofertowym</w:t>
      </w:r>
      <w:r w:rsidR="00012C6E">
        <w:rPr>
          <w:rFonts w:asciiTheme="majorHAnsi" w:eastAsiaTheme="majorEastAsia" w:hAnsiTheme="majorHAnsi"/>
          <w:lang w:eastAsia="en-US"/>
        </w:rPr>
        <w:t>i</w:t>
      </w:r>
      <w:r w:rsidR="00F307FF">
        <w:rPr>
          <w:rFonts w:asciiTheme="majorHAnsi" w:eastAsiaTheme="majorEastAsia" w:hAnsiTheme="majorHAnsi"/>
          <w:lang w:eastAsia="en-US"/>
        </w:rPr>
        <w:t>.</w:t>
      </w:r>
    </w:p>
    <w:p w14:paraId="3B425CE3"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EE51AD">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EE51AD">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EE51AD">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EE51AD">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 xml:space="preserve">mogą być one </w:t>
      </w:r>
      <w:r w:rsidRPr="00692C83">
        <w:rPr>
          <w:rFonts w:ascii="Cambria" w:hAnsi="Cambria"/>
        </w:rPr>
        <w:lastRenderedPageBreak/>
        <w:t>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EE51AD">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lastRenderedPageBreak/>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EE51AD">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EE51AD">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EE51AD">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7D85A03"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A773A7">
        <w:rPr>
          <w:rFonts w:ascii="Cambria" w:hAnsi="Cambria" w:cs="Calibri,Bold"/>
          <w:b/>
          <w:bCs/>
        </w:rPr>
        <w:t>1</w:t>
      </w:r>
      <w:r w:rsidR="00AE6792">
        <w:rPr>
          <w:rFonts w:ascii="Cambria" w:hAnsi="Cambria" w:cs="Calibri,Bold"/>
          <w:b/>
          <w:bCs/>
        </w:rPr>
        <w:t>7</w:t>
      </w:r>
      <w:r w:rsidR="00A773A7">
        <w:rPr>
          <w:rFonts w:ascii="Cambria" w:hAnsi="Cambria" w:cs="Calibri,Bold"/>
          <w:b/>
          <w:bCs/>
        </w:rPr>
        <w:t>.11</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w:t>
      </w:r>
      <w:r w:rsidR="00AE6792">
        <w:rPr>
          <w:rFonts w:ascii="Cambria" w:hAnsi="Cambria" w:cs="Calibri,Bold"/>
          <w:b/>
          <w:bCs/>
        </w:rPr>
        <w:t>2</w:t>
      </w:r>
      <w:r w:rsidR="00395B8E" w:rsidRPr="002C4BDC">
        <w:rPr>
          <w:rFonts w:ascii="Cambria" w:hAnsi="Cambria" w:cs="Calibri,Bold"/>
          <w:b/>
          <w:bCs/>
        </w:rPr>
        <w:t>.00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lastRenderedPageBreak/>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24280F8B"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A773A7">
        <w:rPr>
          <w:rFonts w:ascii="Cambria" w:hAnsi="Cambria" w:cs="Calibri,Bold"/>
          <w:b/>
          <w:bCs/>
        </w:rPr>
        <w:t>1</w:t>
      </w:r>
      <w:r w:rsidR="00AE6792">
        <w:rPr>
          <w:rFonts w:ascii="Cambria" w:hAnsi="Cambria" w:cs="Calibri,Bold"/>
          <w:b/>
          <w:bCs/>
        </w:rPr>
        <w:t>7</w:t>
      </w:r>
      <w:r w:rsidR="00A773A7">
        <w:rPr>
          <w:rFonts w:ascii="Cambria" w:hAnsi="Cambria" w:cs="Calibri,Bold"/>
          <w:b/>
          <w:bCs/>
        </w:rPr>
        <w:t>.11</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w:t>
      </w:r>
      <w:r w:rsidR="00AE6792">
        <w:rPr>
          <w:rFonts w:ascii="Cambria" w:hAnsi="Cambria" w:cs="Calibri,Bold"/>
          <w:b/>
          <w:bCs/>
        </w:rPr>
        <w:t>2</w:t>
      </w:r>
      <w:r w:rsidR="00395B8E" w:rsidRPr="002C4BDC">
        <w:rPr>
          <w:rFonts w:ascii="Cambria" w:hAnsi="Cambria" w:cs="Calibri,Bold"/>
          <w:b/>
          <w:bCs/>
        </w:rPr>
        <w:t>.</w:t>
      </w:r>
      <w:r w:rsidR="00395B8E">
        <w:rPr>
          <w:rFonts w:ascii="Cambria" w:hAnsi="Cambria" w:cs="Calibri,Bold"/>
          <w:b/>
          <w:bCs/>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E433F60"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A773A7">
        <w:rPr>
          <w:rFonts w:ascii="Cambria" w:hAnsi="Cambria"/>
          <w:b/>
          <w:bCs/>
        </w:rPr>
        <w:t>1</w:t>
      </w:r>
      <w:r w:rsidR="00D528A7">
        <w:rPr>
          <w:rFonts w:ascii="Cambria" w:hAnsi="Cambria"/>
          <w:b/>
          <w:bCs/>
        </w:rPr>
        <w:t>6</w:t>
      </w:r>
      <w:r w:rsidR="00A773A7">
        <w:rPr>
          <w:rFonts w:ascii="Cambria" w:hAnsi="Cambria"/>
          <w:b/>
          <w:bCs/>
        </w:rPr>
        <w:t>.12.</w:t>
      </w:r>
      <w:r w:rsidR="00395B8E">
        <w:rPr>
          <w:rFonts w:ascii="Cambria" w:hAnsi="Cambria"/>
          <w:b/>
          <w:bCs/>
        </w:rPr>
        <w:t>2023</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1EC19263" w:rsidR="00CC55BD" w:rsidRPr="006F3D33" w:rsidRDefault="003C7B82" w:rsidP="006F3D33">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EE51AD">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EE51AD">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t>
      </w:r>
      <w:r w:rsidRPr="00EC208B">
        <w:rPr>
          <w:rFonts w:ascii="Cambria" w:hAnsi="Cambria"/>
          <w:lang w:eastAsia="en-US"/>
        </w:rPr>
        <w:lastRenderedPageBreak/>
        <w:t>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EE51AD">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EE51AD">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EE51AD">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2724465F" w14:textId="77777777" w:rsidR="00D109B0" w:rsidRPr="00BC53D4" w:rsidRDefault="00D109B0" w:rsidP="00660A68">
      <w:pPr>
        <w:ind w:right="-108"/>
        <w:jc w:val="both"/>
        <w:rPr>
          <w:rFonts w:ascii="Cambria" w:hAnsi="Cambria"/>
          <w:b/>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7A1660B3" w14:textId="77777777" w:rsidR="00EE4859" w:rsidRPr="00C97315" w:rsidRDefault="00EE4859" w:rsidP="00EE4859">
      <w:pPr>
        <w:numPr>
          <w:ilvl w:val="0"/>
          <w:numId w:val="18"/>
        </w:numPr>
        <w:ind w:right="-108"/>
        <w:jc w:val="both"/>
        <w:rPr>
          <w:rFonts w:ascii="Cambria" w:hAnsi="Cambria"/>
          <w:iCs/>
        </w:rPr>
      </w:pPr>
      <w:r w:rsidRPr="00C97315">
        <w:rPr>
          <w:rFonts w:ascii="Cambria" w:hAnsi="Cambria"/>
        </w:rPr>
        <w:t xml:space="preserve">Od Wykonawcy, którego oferta zostanie wybrana jako najkorzystniejsza, wymagane będzie wniesienie, przed zawarciem umowy, zabezpieczenia należytego wykonania umowy </w:t>
      </w:r>
      <w:r w:rsidRPr="00C97315">
        <w:rPr>
          <w:rFonts w:ascii="Cambria" w:hAnsi="Cambria"/>
          <w:b/>
        </w:rPr>
        <w:t>w wysokości 5% ceny całkowitej (brutto) podanej w ofercie</w:t>
      </w:r>
      <w:r w:rsidRPr="00C97315">
        <w:rPr>
          <w:rFonts w:ascii="Cambria" w:hAnsi="Cambria"/>
        </w:rPr>
        <w:t xml:space="preserve"> za wykonanie całości przedmiotu zamówienia.</w:t>
      </w:r>
      <w:r w:rsidRPr="00C97315">
        <w:rPr>
          <w:rFonts w:asciiTheme="majorHAnsi" w:eastAsiaTheme="majorEastAsia" w:hAnsiTheme="majorHAnsi" w:cstheme="majorBidi"/>
          <w:i/>
          <w:lang w:eastAsia="en-US"/>
        </w:rPr>
        <w:t xml:space="preserve"> </w:t>
      </w:r>
      <w:r w:rsidRPr="00C97315">
        <w:rPr>
          <w:rFonts w:ascii="Cambria" w:hAnsi="Cambria"/>
          <w:iCs/>
        </w:rPr>
        <w:t>Zabezpieczenie służy pokryciu roszczeń z tytułu niewykonania lub nienależytego wykonania umowy.</w:t>
      </w:r>
    </w:p>
    <w:p w14:paraId="4788B062"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Zabezpieczenie należytego wykonania umowy może być wnoszone według wyboru wykonawcy w jednej lub w kilku formach wskazanych w art. 450 ust. 1 ustawy Pzp tj.:</w:t>
      </w:r>
    </w:p>
    <w:p w14:paraId="61E37518"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pieniądzu przelewem na konto Zamawiającego;</w:t>
      </w:r>
    </w:p>
    <w:p w14:paraId="6E0FFD39"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lastRenderedPageBreak/>
        <w:t>poręczeniach bankowych lub poręczeniach spółdzielczej kasy oszczędnościowo-kredytowej, z tym że zobowiązanie kasy jest zawsze zobowiązaniem pieniężnym;</w:t>
      </w:r>
    </w:p>
    <w:p w14:paraId="767255EF"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gwarancjach bankowych;</w:t>
      </w:r>
    </w:p>
    <w:p w14:paraId="1B57B720"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gwarancjach ubezpieczeniowych;</w:t>
      </w:r>
    </w:p>
    <w:p w14:paraId="0F18FF80" w14:textId="77777777" w:rsidR="00EE4859" w:rsidRPr="00C97315" w:rsidRDefault="00EE4859" w:rsidP="00EE4859">
      <w:pPr>
        <w:pStyle w:val="Akapitzlist"/>
        <w:numPr>
          <w:ilvl w:val="0"/>
          <w:numId w:val="74"/>
        </w:numPr>
        <w:ind w:right="-108"/>
        <w:jc w:val="both"/>
        <w:rPr>
          <w:rFonts w:ascii="Cambria" w:hAnsi="Cambria"/>
        </w:rPr>
      </w:pPr>
      <w:r w:rsidRPr="00C97315">
        <w:rPr>
          <w:rFonts w:ascii="Cambria" w:hAnsi="Cambria"/>
        </w:rPr>
        <w:t>poręczeniach udzielanych przez podmioty, o których mowa w art. 6b ust. 5 pkt 2 ustawy z 9 listopada 2000 r. o utworzeniu Polskiej Agencji Rozwoju Przedsiębiorczości.</w:t>
      </w:r>
    </w:p>
    <w:p w14:paraId="4D0E7FCE"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wniesienie zabezpieczenia w formach wskazanych w art. 450 ust. 2 ustawy Pzp.</w:t>
      </w:r>
    </w:p>
    <w:p w14:paraId="4049E56A" w14:textId="77777777" w:rsidR="00EE4859" w:rsidRPr="00C97315" w:rsidRDefault="00EE4859" w:rsidP="00EE4859">
      <w:pPr>
        <w:numPr>
          <w:ilvl w:val="0"/>
          <w:numId w:val="18"/>
        </w:numPr>
        <w:ind w:right="-108"/>
        <w:jc w:val="both"/>
        <w:rPr>
          <w:rFonts w:ascii="Cambria" w:hAnsi="Cambria"/>
          <w:i/>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6DF2FCB4"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Do zmiany formy zabezpieczenia w trakcie realizacji umowy stosuje się art. 451 ustawy Pzp.</w:t>
      </w:r>
    </w:p>
    <w:p w14:paraId="1DD5867F"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Zamawiający zwróci zabezpieczenie w następujących terminach:</w:t>
      </w:r>
    </w:p>
    <w:p w14:paraId="2395686A" w14:textId="77777777" w:rsidR="00EE4859" w:rsidRPr="00C97315" w:rsidRDefault="00EE4859" w:rsidP="00EE4859">
      <w:pPr>
        <w:numPr>
          <w:ilvl w:val="1"/>
          <w:numId w:val="17"/>
        </w:numPr>
        <w:ind w:right="-108"/>
        <w:jc w:val="both"/>
        <w:rPr>
          <w:rFonts w:ascii="Cambria" w:hAnsi="Cambria"/>
        </w:rPr>
      </w:pPr>
      <w:r w:rsidRPr="00C97315">
        <w:rPr>
          <w:rFonts w:ascii="Cambria" w:hAnsi="Cambria"/>
        </w:rPr>
        <w:t>70% wysokości zabezpieczenia w terminie 30 dni od dnia podpisania protokołu odbioru końcowego przedmiotu zamówienia, tj. od dnia wykonania zamówienia i uznania przez zamawiającego za należycie wykonane;</w:t>
      </w:r>
    </w:p>
    <w:p w14:paraId="35D37FC7" w14:textId="77777777" w:rsidR="00EE4859" w:rsidRPr="00C97315" w:rsidRDefault="00EE4859" w:rsidP="00EE4859">
      <w:pPr>
        <w:numPr>
          <w:ilvl w:val="1"/>
          <w:numId w:val="17"/>
        </w:numPr>
        <w:ind w:right="-108"/>
        <w:jc w:val="both"/>
        <w:rPr>
          <w:rFonts w:ascii="Cambria" w:hAnsi="Cambria"/>
        </w:rPr>
      </w:pPr>
      <w:r w:rsidRPr="00C97315">
        <w:rPr>
          <w:rFonts w:ascii="Cambria" w:hAnsi="Cambria"/>
        </w:rPr>
        <w:t>30% wysokości zabezpieczenia w terminie 15 dni od dnia, w którym upływa okres gwarancji/rękojmi, liczony zgodnie z postanowieniami zawartej umowy.</w:t>
      </w:r>
    </w:p>
    <w:p w14:paraId="0DD9C3E5"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Zabezpieczenie wnoszone w pieniądzu powinno zostać wpłacone przelewem na rachunek bankowy zamawiającego: </w:t>
      </w:r>
      <w:r w:rsidRPr="00C97315">
        <w:rPr>
          <w:rFonts w:ascii="Cambria" w:hAnsi="Cambria"/>
          <w:b/>
        </w:rPr>
        <w:t>91 1560  0013 2537 1023 3476</w:t>
      </w:r>
      <w:r w:rsidRPr="00C97315">
        <w:rPr>
          <w:rFonts w:ascii="Cambria" w:hAnsi="Cambria"/>
        </w:rPr>
        <w:t xml:space="preserve"> </w:t>
      </w:r>
      <w:r w:rsidRPr="00C97315">
        <w:rPr>
          <w:rFonts w:ascii="Cambria" w:hAnsi="Cambria"/>
          <w:b/>
        </w:rPr>
        <w:t>0002</w:t>
      </w:r>
      <w:r w:rsidRPr="00C97315">
        <w:rPr>
          <w:rFonts w:ascii="Cambria" w:hAnsi="Cambria"/>
        </w:rPr>
        <w:t xml:space="preserve">  </w:t>
      </w:r>
    </w:p>
    <w:p w14:paraId="763CF06B" w14:textId="338A4E81" w:rsidR="00EE4859" w:rsidRPr="00C97315" w:rsidRDefault="00EE4859" w:rsidP="00EE4859">
      <w:pPr>
        <w:ind w:left="360" w:right="-108"/>
        <w:jc w:val="both"/>
        <w:rPr>
          <w:rFonts w:ascii="Cambria" w:hAnsi="Cambria"/>
          <w:b/>
        </w:rPr>
      </w:pPr>
      <w:r w:rsidRPr="00C97315">
        <w:rPr>
          <w:rFonts w:ascii="Cambria" w:hAnsi="Cambria"/>
        </w:rPr>
        <w:t xml:space="preserve">tytułem przelewu: </w:t>
      </w:r>
      <w:r w:rsidRPr="00C97315">
        <w:rPr>
          <w:rFonts w:ascii="Cambria" w:hAnsi="Cambria"/>
          <w:b/>
        </w:rPr>
        <w:t>Zabezpieczenie należytego wykonania umowy</w:t>
      </w:r>
      <w:r w:rsidRPr="00C97315">
        <w:rPr>
          <w:rFonts w:ascii="Cambria" w:hAnsi="Cambria"/>
          <w:b/>
          <w:bCs/>
          <w:lang w:val="x-none"/>
        </w:rPr>
        <w:t xml:space="preserve"> na</w:t>
      </w:r>
      <w:r w:rsidRPr="00C97315">
        <w:rPr>
          <w:rFonts w:ascii="Cambria" w:hAnsi="Cambria"/>
          <w:b/>
        </w:rPr>
        <w:t>: „</w:t>
      </w:r>
      <w:r w:rsidR="00D528A7" w:rsidRPr="00D528A7">
        <w:rPr>
          <w:rFonts w:ascii="Cambria" w:hAnsi="Cambria"/>
          <w:b/>
        </w:rPr>
        <w:t>Przebudowa drogi powiatowej</w:t>
      </w:r>
      <w:r w:rsidR="00D528A7">
        <w:rPr>
          <w:rFonts w:ascii="Cambria" w:hAnsi="Cambria"/>
          <w:b/>
        </w:rPr>
        <w:t xml:space="preserve"> </w:t>
      </w:r>
      <w:r w:rsidR="00D528A7" w:rsidRPr="00D528A7">
        <w:rPr>
          <w:rFonts w:ascii="Cambria" w:hAnsi="Cambria"/>
          <w:b/>
        </w:rPr>
        <w:t>nr 4777P w m. Gronówko- Poprawa bezpieczeństwa na drogach powiatowych</w:t>
      </w:r>
      <w:r w:rsidRPr="00C97315">
        <w:rPr>
          <w:rFonts w:ascii="Cambria" w:hAnsi="Cambria"/>
          <w:b/>
        </w:rPr>
        <w:t>”</w:t>
      </w:r>
    </w:p>
    <w:p w14:paraId="1AE03CF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Zabezpieczenie wnoszone w formie innej niż w pieniądzu powinno być dostarczone w formie oryginału, przez wykonawcę do siedziby zamawiającego, najpóźniej w dniu podpisania umowy – do chwili jej podpisania.</w:t>
      </w:r>
    </w:p>
    <w:p w14:paraId="278FD8ED"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Treść oświadczenia zawartego w gwarancji lub w poręczeniu musi zostać zaakceptowana przez zamawiającego przed podpisaniem umowy.</w:t>
      </w:r>
    </w:p>
    <w:p w14:paraId="5481C5FA"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94E56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319B9A"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Wypłata, o której mowa w pkt 11, następuje nie później niż w ostatnim dniu ważności dotychczasowego zabezpieczenia.  </w:t>
      </w:r>
    </w:p>
    <w:p w14:paraId="422B2E19" w14:textId="77777777" w:rsidR="00EE4859" w:rsidRPr="00C97315" w:rsidRDefault="00EE4859" w:rsidP="00EE4859">
      <w:pPr>
        <w:numPr>
          <w:ilvl w:val="0"/>
          <w:numId w:val="18"/>
        </w:numPr>
        <w:ind w:right="-108"/>
        <w:jc w:val="both"/>
        <w:rPr>
          <w:rFonts w:ascii="Cambria" w:hAnsi="Cambria"/>
        </w:rPr>
      </w:pPr>
      <w:r w:rsidRPr="00C97315">
        <w:rPr>
          <w:rFonts w:ascii="Cambria" w:hAnsi="Cambria"/>
        </w:rPr>
        <w:t xml:space="preserve"> Z treści gwarancji lub poręczenia musi jednocześnie wynikać:</w:t>
      </w:r>
    </w:p>
    <w:p w14:paraId="0D94560B"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lastRenderedPageBreak/>
        <w:t xml:space="preserve">nazwa zleceniodawcy (wykonawcy), beneficjenta gwarancji lub poręczenia (zamawiającego), gwaranta lub poręczyciela (podmiotu udzielającego gwarancji lub poręczenia) oraz adresy ich siedzib, </w:t>
      </w:r>
    </w:p>
    <w:p w14:paraId="0EB59920"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określenie wierzytelności, która ma być zabezpieczona gwarancją lub poręczeniem,</w:t>
      </w:r>
    </w:p>
    <w:p w14:paraId="67C00BC8"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kwota gwarancji lub poręczenia,</w:t>
      </w:r>
    </w:p>
    <w:p w14:paraId="4D90E979"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termin ważności gwarancji lub poręczenia, obejmujący cały okres wykonania zamówienia, począwszy co najmniej od dnia wyznaczonego na dzień zawarcia umowy, z zastrzeżeniem pkt 10 powyżej,</w:t>
      </w:r>
    </w:p>
    <w:p w14:paraId="4B599D6D" w14:textId="77777777" w:rsidR="00EE4859" w:rsidRPr="00C97315" w:rsidRDefault="00EE4859" w:rsidP="00F82220">
      <w:pPr>
        <w:numPr>
          <w:ilvl w:val="1"/>
          <w:numId w:val="17"/>
        </w:numPr>
        <w:ind w:right="-108" w:hanging="148"/>
        <w:jc w:val="both"/>
        <w:rPr>
          <w:rFonts w:ascii="Cambria" w:hAnsi="Cambria"/>
        </w:rPr>
      </w:pPr>
      <w:r w:rsidRPr="00C97315">
        <w:rPr>
          <w:rFonts w:ascii="Cambria" w:hAnsi="Cambria"/>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7F9299A" w14:textId="77777777" w:rsidR="00EE4859" w:rsidRDefault="00EE4859" w:rsidP="00F82220">
      <w:pPr>
        <w:numPr>
          <w:ilvl w:val="1"/>
          <w:numId w:val="17"/>
        </w:numPr>
        <w:ind w:right="-108" w:hanging="148"/>
        <w:jc w:val="both"/>
        <w:rPr>
          <w:rFonts w:ascii="Cambria" w:hAnsi="Cambria"/>
        </w:rPr>
      </w:pPr>
      <w:r w:rsidRPr="00C97315">
        <w:rPr>
          <w:rFonts w:ascii="Cambria" w:hAnsi="Cambria"/>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6CF8CE89" w14:textId="77777777" w:rsidR="00EE4859" w:rsidRPr="00762DE5" w:rsidRDefault="00EE4859" w:rsidP="00EE4859">
      <w:pPr>
        <w:ind w:left="432" w:right="-108"/>
        <w:jc w:val="both"/>
        <w:rPr>
          <w:rFonts w:ascii="Cambria" w:hAnsi="Cambria"/>
        </w:rPr>
      </w:pPr>
    </w:p>
    <w:p w14:paraId="2B5C06F4" w14:textId="58550EA3" w:rsidR="006F3D33" w:rsidRPr="003B676E" w:rsidRDefault="002C37E6" w:rsidP="003B676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C373630" w14:textId="5D268F80" w:rsidR="006F3D33"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07FAD4B9" w14:textId="6769DCAC" w:rsidR="00EE4859" w:rsidRDefault="00EE4859"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EE51AD">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0D63DA7D" w14:textId="3B320CCB" w:rsidR="004C0DA4" w:rsidRPr="006F3D33" w:rsidRDefault="00CB7654" w:rsidP="006F3D33">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3CFC0ACD" w14:textId="77777777" w:rsidR="006F3D33" w:rsidRPr="006F3D33" w:rsidRDefault="006F3D33" w:rsidP="006F3D33">
      <w:pPr>
        <w:ind w:right="-108"/>
        <w:jc w:val="both"/>
        <w:rPr>
          <w:rFonts w:ascii="Cambria" w:hAnsi="Cambria"/>
        </w:rPr>
      </w:pPr>
    </w:p>
    <w:p w14:paraId="6B265F0A" w14:textId="487E68AB" w:rsidR="00AD4FF1" w:rsidRPr="003447E2"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2439C8B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AA10B4">
        <w:rPr>
          <w:rFonts w:asciiTheme="majorHAnsi" w:hAnsiTheme="majorHAnsi" w:cs="Arial"/>
          <w:snapToGrid w:val="0"/>
        </w:rPr>
        <w:t>Projektowane postanowienia umowy</w:t>
      </w:r>
    </w:p>
    <w:p w14:paraId="76F4B50B" w14:textId="502AC524" w:rsidR="004C0083" w:rsidRPr="002B2893" w:rsidRDefault="003447E2" w:rsidP="00C67E6A">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7</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w:t>
      </w:r>
      <w:bookmarkStart w:id="3" w:name="_GoBack"/>
      <w:r w:rsidR="00502381">
        <w:rPr>
          <w:rFonts w:asciiTheme="majorHAnsi" w:hAnsiTheme="majorHAnsi" w:cs="Arial"/>
          <w:snapToGrid w:val="0"/>
        </w:rPr>
        <w:t>B</w:t>
      </w:r>
      <w:bookmarkEnd w:id="3"/>
      <w:r w:rsidR="00502381">
        <w:rPr>
          <w:rFonts w:asciiTheme="majorHAnsi" w:hAnsiTheme="majorHAnsi" w:cs="Arial"/>
          <w:snapToGrid w:val="0"/>
        </w:rPr>
        <w:t>)</w:t>
      </w:r>
    </w:p>
    <w:p w14:paraId="03476849" w14:textId="6132904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8</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D62798">
        <w:rPr>
          <w:rFonts w:asciiTheme="majorHAnsi" w:hAnsiTheme="majorHAnsi" w:cs="Arial"/>
          <w:snapToGrid w:val="0"/>
        </w:rPr>
        <w:t>Pomocnicz</w:t>
      </w:r>
      <w:r w:rsidR="00012C6E">
        <w:rPr>
          <w:rFonts w:asciiTheme="majorHAnsi" w:hAnsiTheme="majorHAnsi" w:cs="Arial"/>
          <w:snapToGrid w:val="0"/>
        </w:rPr>
        <w:t>e</w:t>
      </w:r>
      <w:r w:rsidR="00D62798">
        <w:rPr>
          <w:rFonts w:asciiTheme="majorHAnsi" w:hAnsiTheme="majorHAnsi" w:cs="Arial"/>
          <w:snapToGrid w:val="0"/>
        </w:rPr>
        <w:t xml:space="preserve"> k</w:t>
      </w:r>
      <w:r w:rsidR="004C0083" w:rsidRPr="002B2893">
        <w:rPr>
          <w:rFonts w:asciiTheme="majorHAnsi" w:hAnsiTheme="majorHAnsi" w:cs="Arial"/>
          <w:snapToGrid w:val="0"/>
        </w:rPr>
        <w:t>osztorys</w:t>
      </w:r>
      <w:r w:rsidR="00012C6E">
        <w:rPr>
          <w:rFonts w:asciiTheme="majorHAnsi" w:hAnsiTheme="majorHAnsi" w:cs="Arial"/>
          <w:snapToGrid w:val="0"/>
        </w:rPr>
        <w:t>y</w:t>
      </w:r>
      <w:r w:rsidR="004C0083" w:rsidRPr="002B2893">
        <w:rPr>
          <w:rFonts w:asciiTheme="majorHAnsi" w:hAnsiTheme="majorHAnsi" w:cs="Arial"/>
          <w:snapToGrid w:val="0"/>
        </w:rPr>
        <w:t xml:space="preserve"> ofertow</w:t>
      </w:r>
      <w:r w:rsidR="00012C6E">
        <w:rPr>
          <w:rFonts w:asciiTheme="majorHAnsi" w:hAnsiTheme="majorHAnsi" w:cs="Arial"/>
          <w:snapToGrid w:val="0"/>
        </w:rPr>
        <w:t>e</w:t>
      </w:r>
      <w:r w:rsidR="00541FE9">
        <w:rPr>
          <w:rFonts w:asciiTheme="majorHAnsi" w:hAnsiTheme="majorHAnsi" w:cs="Arial"/>
          <w:snapToGrid w:val="0"/>
        </w:rPr>
        <w:t xml:space="preserve"> i Przedmiar</w:t>
      </w:r>
      <w:r w:rsidR="00012C6E">
        <w:rPr>
          <w:rFonts w:asciiTheme="majorHAnsi" w:hAnsiTheme="majorHAnsi" w:cs="Arial"/>
          <w:snapToGrid w:val="0"/>
        </w:rPr>
        <w:t>y</w:t>
      </w:r>
      <w:r w:rsidR="00541FE9">
        <w:rPr>
          <w:rFonts w:asciiTheme="majorHAnsi" w:hAnsiTheme="majorHAnsi" w:cs="Arial"/>
          <w:snapToGrid w:val="0"/>
        </w:rPr>
        <w:t xml:space="preserve"> robót</w:t>
      </w:r>
    </w:p>
    <w:p w14:paraId="6A39D679" w14:textId="7FBF3F77" w:rsidR="0032292D" w:rsidRDefault="00470255" w:rsidP="00B8273D">
      <w:pPr>
        <w:autoSpaceDE w:val="0"/>
        <w:autoSpaceDN w:val="0"/>
        <w:adjustRightInd w:val="0"/>
        <w:ind w:left="1701" w:hanging="1701"/>
        <w:rPr>
          <w:rFonts w:asciiTheme="majorHAnsi" w:hAnsiTheme="majorHAnsi" w:cs="Arial"/>
          <w:snapToGrid w:val="0"/>
        </w:rPr>
      </w:pPr>
      <w:r w:rsidRPr="002B2893">
        <w:rPr>
          <w:rFonts w:asciiTheme="majorHAnsi" w:hAnsiTheme="majorHAnsi" w:cs="Arial"/>
          <w:snapToGrid w:val="0"/>
        </w:rPr>
        <w:lastRenderedPageBreak/>
        <w:t xml:space="preserve">Załącznik nr </w:t>
      </w:r>
      <w:r w:rsidR="003A1F31">
        <w:rPr>
          <w:rFonts w:asciiTheme="majorHAnsi" w:hAnsiTheme="majorHAnsi" w:cs="Arial"/>
          <w:snapToGrid w:val="0"/>
        </w:rPr>
        <w:t>9</w:t>
      </w:r>
      <w:r w:rsidRPr="002B2893">
        <w:rPr>
          <w:rFonts w:asciiTheme="majorHAnsi" w:hAnsiTheme="majorHAnsi" w:cs="Arial"/>
          <w:snapToGrid w:val="0"/>
        </w:rPr>
        <w:t xml:space="preserve">- </w:t>
      </w:r>
      <w:r w:rsidR="002D36DB">
        <w:rPr>
          <w:rFonts w:asciiTheme="majorHAnsi" w:hAnsiTheme="majorHAnsi" w:cs="Arial"/>
          <w:snapToGrid w:val="0"/>
        </w:rPr>
        <w:t xml:space="preserve">  </w:t>
      </w:r>
      <w:r w:rsidR="0032292D">
        <w:rPr>
          <w:rFonts w:asciiTheme="majorHAnsi" w:hAnsiTheme="majorHAnsi" w:cs="Arial"/>
          <w:snapToGrid w:val="0"/>
        </w:rPr>
        <w:t>Dokumentacja techniczna</w:t>
      </w:r>
    </w:p>
    <w:p w14:paraId="6AD68DAD" w14:textId="5118D5F9" w:rsidR="00470255" w:rsidRPr="002B2893" w:rsidRDefault="0032292D" w:rsidP="00C67E6A">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Pr>
          <w:rFonts w:asciiTheme="majorHAnsi" w:hAnsiTheme="majorHAnsi" w:cs="Arial"/>
          <w:snapToGrid w:val="0"/>
        </w:rPr>
        <w:t>10</w:t>
      </w:r>
      <w:r w:rsidRPr="002B2893">
        <w:rPr>
          <w:rFonts w:asciiTheme="majorHAnsi" w:hAnsiTheme="majorHAnsi" w:cs="Arial"/>
          <w:snapToGrid w:val="0"/>
        </w:rPr>
        <w:t>-</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2B873CD7" w:rsidR="00AD4FF1" w:rsidRPr="002B2893" w:rsidRDefault="00470255" w:rsidP="003B676E">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32292D">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t>
      </w:r>
      <w:r w:rsidR="003B676E">
        <w:rPr>
          <w:rFonts w:asciiTheme="majorHAnsi" w:hAnsiTheme="majorHAnsi"/>
        </w:rPr>
        <w:t xml:space="preserve">  </w:t>
      </w:r>
      <w:r w:rsidRPr="002B2893">
        <w:rPr>
          <w:rFonts w:asciiTheme="majorHAnsi" w:hAnsiTheme="majorHAnsi"/>
        </w:rPr>
        <w:t>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2E67A" w14:textId="77777777" w:rsidR="003D74BF" w:rsidRDefault="003D74BF" w:rsidP="000F1DCF">
      <w:r>
        <w:separator/>
      </w:r>
    </w:p>
  </w:endnote>
  <w:endnote w:type="continuationSeparator" w:id="0">
    <w:p w14:paraId="73A0A42E" w14:textId="77777777" w:rsidR="003D74BF" w:rsidRDefault="003D74BF" w:rsidP="000F1DCF">
      <w:r>
        <w:continuationSeparator/>
      </w:r>
    </w:p>
  </w:endnote>
  <w:endnote w:type="continuationNotice" w:id="1">
    <w:p w14:paraId="2117F5F8" w14:textId="77777777" w:rsidR="003D74BF" w:rsidRDefault="003D7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A9B3" w14:textId="77777777" w:rsidR="003D74BF" w:rsidRDefault="003D74BF" w:rsidP="000F1DCF">
      <w:r>
        <w:separator/>
      </w:r>
    </w:p>
  </w:footnote>
  <w:footnote w:type="continuationSeparator" w:id="0">
    <w:p w14:paraId="1DF19A3B" w14:textId="77777777" w:rsidR="003D74BF" w:rsidRDefault="003D74BF" w:rsidP="000F1DCF">
      <w:r>
        <w:continuationSeparator/>
      </w:r>
    </w:p>
  </w:footnote>
  <w:footnote w:type="continuationNotice" w:id="1">
    <w:p w14:paraId="6CE57CAD" w14:textId="77777777" w:rsidR="003D74BF" w:rsidRDefault="003D74BF"/>
  </w:footnote>
  <w:footnote w:id="2">
    <w:p w14:paraId="4C2783A3" w14:textId="77777777" w:rsidR="003862F2" w:rsidRDefault="003862F2"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163A2325" w:rsidR="003862F2" w:rsidRPr="00304FB0" w:rsidRDefault="003862F2" w:rsidP="004752E6">
    <w:pPr>
      <w:pStyle w:val="Nagwek"/>
      <w:jc w:val="both"/>
      <w:rPr>
        <w:rFonts w:ascii="Cambria" w:hAnsi="Cambria"/>
        <w:lang w:val="pl-PL"/>
      </w:rPr>
    </w:pPr>
    <w:r>
      <w:rPr>
        <w:rFonts w:ascii="Cambria" w:hAnsi="Cambria"/>
        <w:lang w:val="pl-PL"/>
      </w:rPr>
      <w:t>3</w:t>
    </w:r>
    <w:r w:rsidR="0032648B">
      <w:rPr>
        <w:rFonts w:ascii="Cambria" w:hAnsi="Cambria"/>
        <w:lang w:val="pl-PL"/>
      </w:rPr>
      <w:t>7</w:t>
    </w:r>
    <w:r>
      <w:rPr>
        <w:rFonts w:ascii="Cambria" w:hAnsi="Cambria"/>
        <w:lang w:val="pl-PL"/>
      </w:rPr>
      <w:t xml:space="preserve">/p.n/23- </w:t>
    </w:r>
    <w:r w:rsidRPr="00304FB0">
      <w:rPr>
        <w:rFonts w:ascii="Cambria" w:hAnsi="Cambria"/>
        <w:lang w:val="pl-PL"/>
      </w:rPr>
      <w:t xml:space="preserve">postępowanie o udzielenie zamówienia w trybie podstawowym </w:t>
    </w:r>
    <w:r w:rsidR="0032648B">
      <w:rPr>
        <w:rFonts w:ascii="Cambria" w:hAnsi="Cambria"/>
        <w:lang w:val="pl-PL"/>
      </w:rPr>
      <w:t xml:space="preserve">                                            </w:t>
    </w:r>
    <w:r>
      <w:rPr>
        <w:rFonts w:ascii="Cambria" w:hAnsi="Cambria"/>
        <w:lang w:val="pl-PL"/>
      </w:rPr>
      <w:t>z</w:t>
    </w:r>
    <w:r w:rsidRPr="00304FB0">
      <w:rPr>
        <w:rFonts w:ascii="Cambria" w:hAnsi="Cambria"/>
        <w:lang w:val="pl-PL"/>
      </w:rPr>
      <w:t xml:space="preserve"> możliwością przeprowadzenia negocjacji pod nazwą: „</w:t>
    </w:r>
    <w:r w:rsidR="0032648B" w:rsidRPr="0032648B">
      <w:rPr>
        <w:rFonts w:asciiTheme="majorHAnsi" w:hAnsiTheme="majorHAnsi"/>
        <w:lang w:val="pl-PL"/>
      </w:rPr>
      <w:t xml:space="preserve">Przebudowa drogi powiatowej </w:t>
    </w:r>
    <w:r w:rsidR="0032648B">
      <w:rPr>
        <w:rFonts w:asciiTheme="majorHAnsi" w:hAnsiTheme="majorHAnsi"/>
        <w:lang w:val="pl-PL"/>
      </w:rPr>
      <w:t xml:space="preserve">              </w:t>
    </w:r>
    <w:r w:rsidR="0032648B" w:rsidRPr="0032648B">
      <w:rPr>
        <w:rFonts w:asciiTheme="majorHAnsi" w:hAnsiTheme="majorHAnsi"/>
        <w:lang w:val="pl-PL"/>
      </w:rPr>
      <w:t>nr 4777P w m. Gronówko- Poprawa bezpieczeństwa na drogach powiatowych</w:t>
    </w:r>
    <w:r w:rsidRPr="00304FB0">
      <w:rPr>
        <w:rFonts w:ascii="Cambria" w:hAnsi="Cambria"/>
        <w:lang w:val="pl-PL"/>
      </w:rPr>
      <w:t xml:space="preserve">”    </w:t>
    </w:r>
  </w:p>
  <w:p w14:paraId="6A961955" w14:textId="307541CF" w:rsidR="003862F2" w:rsidRPr="005B355E" w:rsidRDefault="003862F2">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DA6135"/>
    <w:multiLevelType w:val="hybridMultilevel"/>
    <w:tmpl w:val="F36AD63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163595"/>
    <w:multiLevelType w:val="hybridMultilevel"/>
    <w:tmpl w:val="A00C59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E6435E"/>
    <w:multiLevelType w:val="hybridMultilevel"/>
    <w:tmpl w:val="67C6A87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3743540E"/>
    <w:multiLevelType w:val="hybridMultilevel"/>
    <w:tmpl w:val="2A7069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27535B1"/>
    <w:multiLevelType w:val="hybridMultilevel"/>
    <w:tmpl w:val="3662D3E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BB12E6"/>
    <w:multiLevelType w:val="hybridMultilevel"/>
    <w:tmpl w:val="0C34A6DC"/>
    <w:lvl w:ilvl="0" w:tplc="04150001">
      <w:start w:val="1"/>
      <w:numFmt w:val="bullet"/>
      <w:lvlText w:val=""/>
      <w:lvlJc w:val="left"/>
      <w:pPr>
        <w:ind w:left="1429" w:hanging="360"/>
      </w:pPr>
      <w:rPr>
        <w:rFonts w:ascii="Symbol" w:eastAsia="Times New Roman" w:hAnsi="Symbol"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9" w15:restartNumberingAfterBreak="0">
    <w:nsid w:val="57680BD1"/>
    <w:multiLevelType w:val="hybridMultilevel"/>
    <w:tmpl w:val="16B8D244"/>
    <w:lvl w:ilvl="0" w:tplc="72F0F9E0">
      <w:start w:val="1"/>
      <w:numFmt w:val="bullet"/>
      <w:lvlText w:val="-"/>
      <w:lvlJc w:val="left"/>
      <w:pPr>
        <w:ind w:left="1004" w:hanging="360"/>
      </w:pPr>
      <w:rPr>
        <w:rFonts w:ascii="Arial" w:hAnsi="Arial"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0"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563FA5"/>
    <w:multiLevelType w:val="hybridMultilevel"/>
    <w:tmpl w:val="AC1E64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4"/>
  </w:num>
  <w:num w:numId="3">
    <w:abstractNumId w:val="82"/>
  </w:num>
  <w:num w:numId="4">
    <w:abstractNumId w:val="86"/>
  </w:num>
  <w:num w:numId="5">
    <w:abstractNumId w:val="49"/>
  </w:num>
  <w:num w:numId="6">
    <w:abstractNumId w:val="84"/>
  </w:num>
  <w:num w:numId="7">
    <w:abstractNumId w:val="12"/>
  </w:num>
  <w:num w:numId="8">
    <w:abstractNumId w:val="35"/>
  </w:num>
  <w:num w:numId="9">
    <w:abstractNumId w:val="54"/>
  </w:num>
  <w:num w:numId="10">
    <w:abstractNumId w:val="28"/>
  </w:num>
  <w:num w:numId="11">
    <w:abstractNumId w:val="70"/>
  </w:num>
  <w:num w:numId="12">
    <w:abstractNumId w:val="14"/>
  </w:num>
  <w:num w:numId="13">
    <w:abstractNumId w:val="53"/>
  </w:num>
  <w:num w:numId="14">
    <w:abstractNumId w:val="43"/>
  </w:num>
  <w:num w:numId="15">
    <w:abstractNumId w:val="79"/>
  </w:num>
  <w:num w:numId="16">
    <w:abstractNumId w:val="72"/>
  </w:num>
  <w:num w:numId="17">
    <w:abstractNumId w:val="40"/>
  </w:num>
  <w:num w:numId="18">
    <w:abstractNumId w:val="61"/>
  </w:num>
  <w:num w:numId="19">
    <w:abstractNumId w:val="22"/>
  </w:num>
  <w:num w:numId="20">
    <w:abstractNumId w:val="77"/>
  </w:num>
  <w:num w:numId="21">
    <w:abstractNumId w:val="39"/>
  </w:num>
  <w:num w:numId="22">
    <w:abstractNumId w:val="19"/>
  </w:num>
  <w:num w:numId="23">
    <w:abstractNumId w:val="20"/>
  </w:num>
  <w:num w:numId="24">
    <w:abstractNumId w:val="48"/>
  </w:num>
  <w:num w:numId="25">
    <w:abstractNumId w:val="76"/>
  </w:num>
  <w:num w:numId="26">
    <w:abstractNumId w:val="26"/>
  </w:num>
  <w:num w:numId="27">
    <w:abstractNumId w:val="47"/>
  </w:num>
  <w:num w:numId="28">
    <w:abstractNumId w:val="44"/>
  </w:num>
  <w:num w:numId="29">
    <w:abstractNumId w:val="80"/>
  </w:num>
  <w:num w:numId="30">
    <w:abstractNumId w:val="33"/>
  </w:num>
  <w:num w:numId="31">
    <w:abstractNumId w:val="37"/>
  </w:num>
  <w:num w:numId="32">
    <w:abstractNumId w:val="5"/>
  </w:num>
  <w:num w:numId="33">
    <w:abstractNumId w:val="50"/>
  </w:num>
  <w:num w:numId="34">
    <w:abstractNumId w:val="66"/>
  </w:num>
  <w:num w:numId="35">
    <w:abstractNumId w:val="18"/>
  </w:num>
  <w:num w:numId="36">
    <w:abstractNumId w:val="13"/>
  </w:num>
  <w:num w:numId="37">
    <w:abstractNumId w:val="60"/>
  </w:num>
  <w:num w:numId="38">
    <w:abstractNumId w:val="21"/>
  </w:num>
  <w:num w:numId="39">
    <w:abstractNumId w:val="45"/>
  </w:num>
  <w:num w:numId="40">
    <w:abstractNumId w:val="78"/>
  </w:num>
  <w:num w:numId="41">
    <w:abstractNumId w:val="62"/>
  </w:num>
  <w:num w:numId="42">
    <w:abstractNumId w:val="7"/>
  </w:num>
  <w:num w:numId="43">
    <w:abstractNumId w:val="56"/>
  </w:num>
  <w:num w:numId="44">
    <w:abstractNumId w:val="55"/>
  </w:num>
  <w:num w:numId="45">
    <w:abstractNumId w:val="51"/>
  </w:num>
  <w:num w:numId="46">
    <w:abstractNumId w:val="58"/>
  </w:num>
  <w:num w:numId="47">
    <w:abstractNumId w:val="32"/>
  </w:num>
  <w:num w:numId="48">
    <w:abstractNumId w:val="65"/>
  </w:num>
  <w:num w:numId="49">
    <w:abstractNumId w:val="83"/>
  </w:num>
  <w:num w:numId="50">
    <w:abstractNumId w:val="87"/>
  </w:num>
  <w:num w:numId="51">
    <w:abstractNumId w:val="73"/>
  </w:num>
  <w:num w:numId="52">
    <w:abstractNumId w:val="29"/>
  </w:num>
  <w:num w:numId="53">
    <w:abstractNumId w:val="81"/>
  </w:num>
  <w:num w:numId="54">
    <w:abstractNumId w:val="68"/>
  </w:num>
  <w:num w:numId="55">
    <w:abstractNumId w:val="31"/>
  </w:num>
  <w:num w:numId="56">
    <w:abstractNumId w:val="6"/>
  </w:num>
  <w:num w:numId="57">
    <w:abstractNumId w:val="25"/>
  </w:num>
  <w:num w:numId="58">
    <w:abstractNumId w:val="38"/>
  </w:num>
  <w:num w:numId="59">
    <w:abstractNumId w:val="59"/>
  </w:num>
  <w:num w:numId="60">
    <w:abstractNumId w:val="24"/>
  </w:num>
  <w:num w:numId="61">
    <w:abstractNumId w:val="0"/>
  </w:num>
  <w:num w:numId="62">
    <w:abstractNumId w:val="36"/>
  </w:num>
  <w:num w:numId="63">
    <w:abstractNumId w:val="52"/>
  </w:num>
  <w:num w:numId="64">
    <w:abstractNumId w:val="75"/>
  </w:num>
  <w:num w:numId="65">
    <w:abstractNumId w:val="11"/>
  </w:num>
  <w:num w:numId="66">
    <w:abstractNumId w:val="1"/>
  </w:num>
  <w:num w:numId="67">
    <w:abstractNumId w:val="23"/>
  </w:num>
  <w:num w:numId="68">
    <w:abstractNumId w:val="2"/>
  </w:num>
  <w:num w:numId="69">
    <w:abstractNumId w:val="3"/>
  </w:num>
  <w:num w:numId="70">
    <w:abstractNumId w:val="27"/>
  </w:num>
  <w:num w:numId="71">
    <w:abstractNumId w:val="63"/>
  </w:num>
  <w:num w:numId="72">
    <w:abstractNumId w:val="15"/>
  </w:num>
  <w:num w:numId="73">
    <w:abstractNumId w:val="4"/>
  </w:num>
  <w:num w:numId="74">
    <w:abstractNumId w:val="16"/>
  </w:num>
  <w:num w:numId="75">
    <w:abstractNumId w:val="85"/>
  </w:num>
  <w:num w:numId="76">
    <w:abstractNumId w:val="9"/>
  </w:num>
  <w:num w:numId="77">
    <w:abstractNumId w:val="30"/>
  </w:num>
  <w:num w:numId="78">
    <w:abstractNumId w:val="67"/>
  </w:num>
  <w:num w:numId="79">
    <w:abstractNumId w:val="57"/>
  </w:num>
  <w:num w:numId="80">
    <w:abstractNumId w:val="17"/>
  </w:num>
  <w:num w:numId="81">
    <w:abstractNumId w:val="71"/>
  </w:num>
  <w:num w:numId="82">
    <w:abstractNumId w:val="46"/>
  </w:num>
  <w:num w:numId="83">
    <w:abstractNumId w:val="42"/>
  </w:num>
  <w:num w:numId="84">
    <w:abstractNumId w:val="74"/>
  </w:num>
  <w:num w:numId="85">
    <w:abstractNumId w:val="10"/>
  </w:num>
  <w:num w:numId="86">
    <w:abstractNumId w:val="69"/>
  </w:num>
  <w:num w:numId="87">
    <w:abstractNumId w:val="8"/>
  </w:num>
  <w:num w:numId="88">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3AF"/>
    <w:rsid w:val="00007B28"/>
    <w:rsid w:val="00007E72"/>
    <w:rsid w:val="0001016A"/>
    <w:rsid w:val="00011439"/>
    <w:rsid w:val="00012548"/>
    <w:rsid w:val="00012C6E"/>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0B9F"/>
    <w:rsid w:val="0003224C"/>
    <w:rsid w:val="00033FF9"/>
    <w:rsid w:val="000349BB"/>
    <w:rsid w:val="000352EC"/>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96C"/>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01A"/>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403"/>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24ED"/>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DB3"/>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67F0"/>
    <w:rsid w:val="001E72B7"/>
    <w:rsid w:val="001F0D7F"/>
    <w:rsid w:val="001F0E7A"/>
    <w:rsid w:val="001F1172"/>
    <w:rsid w:val="001F1B9F"/>
    <w:rsid w:val="001F5569"/>
    <w:rsid w:val="001F701C"/>
    <w:rsid w:val="0020063A"/>
    <w:rsid w:val="002040C0"/>
    <w:rsid w:val="0020540A"/>
    <w:rsid w:val="00205450"/>
    <w:rsid w:val="00205672"/>
    <w:rsid w:val="00206687"/>
    <w:rsid w:val="00206FC6"/>
    <w:rsid w:val="00207AC9"/>
    <w:rsid w:val="00212D4B"/>
    <w:rsid w:val="002134A8"/>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2F3E"/>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3A75"/>
    <w:rsid w:val="002C48E2"/>
    <w:rsid w:val="002C4BDC"/>
    <w:rsid w:val="002C6F93"/>
    <w:rsid w:val="002C7E1C"/>
    <w:rsid w:val="002D0644"/>
    <w:rsid w:val="002D09DD"/>
    <w:rsid w:val="002D0C9E"/>
    <w:rsid w:val="002D1955"/>
    <w:rsid w:val="002D1B86"/>
    <w:rsid w:val="002D249E"/>
    <w:rsid w:val="002D2DBE"/>
    <w:rsid w:val="002D36DB"/>
    <w:rsid w:val="002D48ED"/>
    <w:rsid w:val="002D566D"/>
    <w:rsid w:val="002D6352"/>
    <w:rsid w:val="002D685B"/>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533"/>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292D"/>
    <w:rsid w:val="00323B10"/>
    <w:rsid w:val="003247A5"/>
    <w:rsid w:val="00324D72"/>
    <w:rsid w:val="0032556F"/>
    <w:rsid w:val="0032562F"/>
    <w:rsid w:val="00325AC4"/>
    <w:rsid w:val="00325D16"/>
    <w:rsid w:val="0032648B"/>
    <w:rsid w:val="0032776C"/>
    <w:rsid w:val="003313EB"/>
    <w:rsid w:val="003320AC"/>
    <w:rsid w:val="0033351C"/>
    <w:rsid w:val="00334054"/>
    <w:rsid w:val="003356CD"/>
    <w:rsid w:val="003361EA"/>
    <w:rsid w:val="00337B48"/>
    <w:rsid w:val="0034067C"/>
    <w:rsid w:val="00340CDF"/>
    <w:rsid w:val="00340DE7"/>
    <w:rsid w:val="0034161F"/>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2F2"/>
    <w:rsid w:val="003867FC"/>
    <w:rsid w:val="00386CBE"/>
    <w:rsid w:val="00387C05"/>
    <w:rsid w:val="00387FA1"/>
    <w:rsid w:val="003903B0"/>
    <w:rsid w:val="00391EF0"/>
    <w:rsid w:val="00395360"/>
    <w:rsid w:val="00395B8E"/>
    <w:rsid w:val="003979FA"/>
    <w:rsid w:val="00397A9A"/>
    <w:rsid w:val="003A0690"/>
    <w:rsid w:val="003A11E7"/>
    <w:rsid w:val="003A12CB"/>
    <w:rsid w:val="003A193C"/>
    <w:rsid w:val="003A1E63"/>
    <w:rsid w:val="003A1F31"/>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76E"/>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4BF"/>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85F"/>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C98"/>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2F3"/>
    <w:rsid w:val="00446599"/>
    <w:rsid w:val="00447382"/>
    <w:rsid w:val="00447396"/>
    <w:rsid w:val="00447E67"/>
    <w:rsid w:val="00450D14"/>
    <w:rsid w:val="00451B08"/>
    <w:rsid w:val="00451C13"/>
    <w:rsid w:val="00452036"/>
    <w:rsid w:val="004546B5"/>
    <w:rsid w:val="004579A7"/>
    <w:rsid w:val="00460508"/>
    <w:rsid w:val="00460B00"/>
    <w:rsid w:val="00460B78"/>
    <w:rsid w:val="00460C17"/>
    <w:rsid w:val="00462A9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586A"/>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A5"/>
    <w:rsid w:val="004F63EB"/>
    <w:rsid w:val="004F6812"/>
    <w:rsid w:val="004F6E7A"/>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5F01"/>
    <w:rsid w:val="005375FA"/>
    <w:rsid w:val="00541BD3"/>
    <w:rsid w:val="00541DD3"/>
    <w:rsid w:val="00541FE9"/>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15F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0214"/>
    <w:rsid w:val="00591530"/>
    <w:rsid w:val="00592F37"/>
    <w:rsid w:val="00593780"/>
    <w:rsid w:val="0059413A"/>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6E3"/>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26EA9"/>
    <w:rsid w:val="00631E72"/>
    <w:rsid w:val="006320D5"/>
    <w:rsid w:val="00632588"/>
    <w:rsid w:val="00633793"/>
    <w:rsid w:val="006359EA"/>
    <w:rsid w:val="006374A7"/>
    <w:rsid w:val="00640D74"/>
    <w:rsid w:val="00642FFA"/>
    <w:rsid w:val="006430FD"/>
    <w:rsid w:val="0064330E"/>
    <w:rsid w:val="00645F5C"/>
    <w:rsid w:val="006469BD"/>
    <w:rsid w:val="006470AB"/>
    <w:rsid w:val="00647D03"/>
    <w:rsid w:val="006500EA"/>
    <w:rsid w:val="006519CC"/>
    <w:rsid w:val="00653870"/>
    <w:rsid w:val="00653F27"/>
    <w:rsid w:val="00654B01"/>
    <w:rsid w:val="00655463"/>
    <w:rsid w:val="00655960"/>
    <w:rsid w:val="00657D67"/>
    <w:rsid w:val="00660A68"/>
    <w:rsid w:val="006616E8"/>
    <w:rsid w:val="00662A29"/>
    <w:rsid w:val="0066344E"/>
    <w:rsid w:val="00663978"/>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03E1"/>
    <w:rsid w:val="006E2432"/>
    <w:rsid w:val="006E2A4B"/>
    <w:rsid w:val="006E50F9"/>
    <w:rsid w:val="006E69E3"/>
    <w:rsid w:val="006E73BC"/>
    <w:rsid w:val="006E7FC4"/>
    <w:rsid w:val="006F1689"/>
    <w:rsid w:val="006F1EA5"/>
    <w:rsid w:val="006F38B7"/>
    <w:rsid w:val="006F3D33"/>
    <w:rsid w:val="006F4D3F"/>
    <w:rsid w:val="006F53DA"/>
    <w:rsid w:val="006F6489"/>
    <w:rsid w:val="006F6744"/>
    <w:rsid w:val="006F69FC"/>
    <w:rsid w:val="00701C6A"/>
    <w:rsid w:val="007033FD"/>
    <w:rsid w:val="007035FA"/>
    <w:rsid w:val="00703E7D"/>
    <w:rsid w:val="00704FCD"/>
    <w:rsid w:val="00705282"/>
    <w:rsid w:val="00707D49"/>
    <w:rsid w:val="00711685"/>
    <w:rsid w:val="0071485B"/>
    <w:rsid w:val="00714A06"/>
    <w:rsid w:val="007155DA"/>
    <w:rsid w:val="00716461"/>
    <w:rsid w:val="0072017F"/>
    <w:rsid w:val="00720181"/>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31A"/>
    <w:rsid w:val="0074543F"/>
    <w:rsid w:val="00745DA7"/>
    <w:rsid w:val="00745F2F"/>
    <w:rsid w:val="00747543"/>
    <w:rsid w:val="007515D3"/>
    <w:rsid w:val="00752A2D"/>
    <w:rsid w:val="00755614"/>
    <w:rsid w:val="00762198"/>
    <w:rsid w:val="007711F6"/>
    <w:rsid w:val="0077233A"/>
    <w:rsid w:val="00773D17"/>
    <w:rsid w:val="00775E5E"/>
    <w:rsid w:val="00777B35"/>
    <w:rsid w:val="007805F4"/>
    <w:rsid w:val="007838DB"/>
    <w:rsid w:val="00784131"/>
    <w:rsid w:val="0078519A"/>
    <w:rsid w:val="00785F0A"/>
    <w:rsid w:val="0078693A"/>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473"/>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2BD"/>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4BEA"/>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098D"/>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0C11"/>
    <w:rsid w:val="0089169E"/>
    <w:rsid w:val="0089263F"/>
    <w:rsid w:val="00893D49"/>
    <w:rsid w:val="00893D97"/>
    <w:rsid w:val="008954D8"/>
    <w:rsid w:val="00896A57"/>
    <w:rsid w:val="00897586"/>
    <w:rsid w:val="008979CA"/>
    <w:rsid w:val="008A0085"/>
    <w:rsid w:val="008A0B0D"/>
    <w:rsid w:val="008A0C60"/>
    <w:rsid w:val="008A20B6"/>
    <w:rsid w:val="008A2895"/>
    <w:rsid w:val="008A33B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0E94"/>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69C"/>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2DAA"/>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3D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E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033C"/>
    <w:rsid w:val="00A514B6"/>
    <w:rsid w:val="00A51B3F"/>
    <w:rsid w:val="00A5234B"/>
    <w:rsid w:val="00A5424C"/>
    <w:rsid w:val="00A55356"/>
    <w:rsid w:val="00A5582A"/>
    <w:rsid w:val="00A5798B"/>
    <w:rsid w:val="00A60B12"/>
    <w:rsid w:val="00A60EAD"/>
    <w:rsid w:val="00A60F14"/>
    <w:rsid w:val="00A61799"/>
    <w:rsid w:val="00A622D6"/>
    <w:rsid w:val="00A6282E"/>
    <w:rsid w:val="00A63E6C"/>
    <w:rsid w:val="00A655B9"/>
    <w:rsid w:val="00A66CB7"/>
    <w:rsid w:val="00A67961"/>
    <w:rsid w:val="00A71B19"/>
    <w:rsid w:val="00A73B0F"/>
    <w:rsid w:val="00A7447E"/>
    <w:rsid w:val="00A75AEB"/>
    <w:rsid w:val="00A76348"/>
    <w:rsid w:val="00A773A7"/>
    <w:rsid w:val="00A8003D"/>
    <w:rsid w:val="00A80AEA"/>
    <w:rsid w:val="00A80F8A"/>
    <w:rsid w:val="00A84C34"/>
    <w:rsid w:val="00A859C6"/>
    <w:rsid w:val="00A85EAD"/>
    <w:rsid w:val="00A87297"/>
    <w:rsid w:val="00A87478"/>
    <w:rsid w:val="00A8759C"/>
    <w:rsid w:val="00A87D8B"/>
    <w:rsid w:val="00A90A89"/>
    <w:rsid w:val="00A91339"/>
    <w:rsid w:val="00A91907"/>
    <w:rsid w:val="00A9207B"/>
    <w:rsid w:val="00A9405B"/>
    <w:rsid w:val="00AA0EB9"/>
    <w:rsid w:val="00AA10B4"/>
    <w:rsid w:val="00AA1932"/>
    <w:rsid w:val="00AA2AD2"/>
    <w:rsid w:val="00AA3FDD"/>
    <w:rsid w:val="00AA4970"/>
    <w:rsid w:val="00AA4F20"/>
    <w:rsid w:val="00AA4FDB"/>
    <w:rsid w:val="00AA59A0"/>
    <w:rsid w:val="00AA5D10"/>
    <w:rsid w:val="00AB0104"/>
    <w:rsid w:val="00AB1419"/>
    <w:rsid w:val="00AB298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E6792"/>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2EAE"/>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7E0"/>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24F3"/>
    <w:rsid w:val="00BD58B8"/>
    <w:rsid w:val="00BD5A6F"/>
    <w:rsid w:val="00BD675C"/>
    <w:rsid w:val="00BD6B1C"/>
    <w:rsid w:val="00BD6D61"/>
    <w:rsid w:val="00BE0602"/>
    <w:rsid w:val="00BE21CB"/>
    <w:rsid w:val="00BE2495"/>
    <w:rsid w:val="00BE353D"/>
    <w:rsid w:val="00BE4EF3"/>
    <w:rsid w:val="00BE5D23"/>
    <w:rsid w:val="00BE66BE"/>
    <w:rsid w:val="00BE66CE"/>
    <w:rsid w:val="00BE69C2"/>
    <w:rsid w:val="00BE705D"/>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2C"/>
    <w:rsid w:val="00C67A26"/>
    <w:rsid w:val="00C67CB7"/>
    <w:rsid w:val="00C67E4C"/>
    <w:rsid w:val="00C67E6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26EF"/>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0C"/>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9B0"/>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1525"/>
    <w:rsid w:val="00D523D6"/>
    <w:rsid w:val="00D528A7"/>
    <w:rsid w:val="00D52F4F"/>
    <w:rsid w:val="00D53DC3"/>
    <w:rsid w:val="00D54408"/>
    <w:rsid w:val="00D5479A"/>
    <w:rsid w:val="00D551DB"/>
    <w:rsid w:val="00D56A75"/>
    <w:rsid w:val="00D56C04"/>
    <w:rsid w:val="00D60341"/>
    <w:rsid w:val="00D61920"/>
    <w:rsid w:val="00D61CFB"/>
    <w:rsid w:val="00D62798"/>
    <w:rsid w:val="00D63F94"/>
    <w:rsid w:val="00D66B39"/>
    <w:rsid w:val="00D67304"/>
    <w:rsid w:val="00D67A20"/>
    <w:rsid w:val="00D70085"/>
    <w:rsid w:val="00D708DA"/>
    <w:rsid w:val="00D7389E"/>
    <w:rsid w:val="00D758C2"/>
    <w:rsid w:val="00D80D06"/>
    <w:rsid w:val="00D8154D"/>
    <w:rsid w:val="00D81CE5"/>
    <w:rsid w:val="00D83AB9"/>
    <w:rsid w:val="00D845AC"/>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74D"/>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75F"/>
    <w:rsid w:val="00E72E22"/>
    <w:rsid w:val="00E7318F"/>
    <w:rsid w:val="00E74BAB"/>
    <w:rsid w:val="00E74EA1"/>
    <w:rsid w:val="00E75917"/>
    <w:rsid w:val="00E773AC"/>
    <w:rsid w:val="00E779C4"/>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898"/>
    <w:rsid w:val="00EA7F4C"/>
    <w:rsid w:val="00EB0037"/>
    <w:rsid w:val="00EB0F32"/>
    <w:rsid w:val="00EB540D"/>
    <w:rsid w:val="00EB5770"/>
    <w:rsid w:val="00EB643D"/>
    <w:rsid w:val="00EB758A"/>
    <w:rsid w:val="00EB7EB9"/>
    <w:rsid w:val="00EC1665"/>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19BE"/>
    <w:rsid w:val="00EE2A32"/>
    <w:rsid w:val="00EE3FD0"/>
    <w:rsid w:val="00EE4859"/>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9DC"/>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851"/>
    <w:rsid w:val="00F60925"/>
    <w:rsid w:val="00F61D18"/>
    <w:rsid w:val="00F63628"/>
    <w:rsid w:val="00F64795"/>
    <w:rsid w:val="00F7224F"/>
    <w:rsid w:val="00F746B3"/>
    <w:rsid w:val="00F754E9"/>
    <w:rsid w:val="00F76470"/>
    <w:rsid w:val="00F765EE"/>
    <w:rsid w:val="00F779C7"/>
    <w:rsid w:val="00F77A1B"/>
    <w:rsid w:val="00F77FDE"/>
    <w:rsid w:val="00F82220"/>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13B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3EDD"/>
    <w:rsid w:val="00FD4AD1"/>
    <w:rsid w:val="00FD4B74"/>
    <w:rsid w:val="00FD5C35"/>
    <w:rsid w:val="00FD7688"/>
    <w:rsid w:val="00FE21C5"/>
    <w:rsid w:val="00FE25B8"/>
    <w:rsid w:val="00FE361A"/>
    <w:rsid w:val="00FE4000"/>
    <w:rsid w:val="00FE4449"/>
    <w:rsid w:val="00FE5694"/>
    <w:rsid w:val="00FE5722"/>
    <w:rsid w:val="00FE70F7"/>
    <w:rsid w:val="00FE7477"/>
    <w:rsid w:val="00FE7803"/>
    <w:rsid w:val="00FE7FA5"/>
    <w:rsid w:val="00FF0519"/>
    <w:rsid w:val="00FF0878"/>
    <w:rsid w:val="00FF30F4"/>
    <w:rsid w:val="00FF3E61"/>
    <w:rsid w:val="00FF3EE0"/>
    <w:rsid w:val="00FF409C"/>
    <w:rsid w:val="00FF4B52"/>
    <w:rsid w:val="00FF4E11"/>
    <w:rsid w:val="00FF5A2F"/>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2019540">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5473222">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EB6A-B917-4376-9B7C-D0183CC4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39</Pages>
  <Words>13582</Words>
  <Characters>81494</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94887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101</cp:revision>
  <cp:lastPrinted>2023-11-03T11:48:00Z</cp:lastPrinted>
  <dcterms:created xsi:type="dcterms:W3CDTF">2021-01-08T11:15:00Z</dcterms:created>
  <dcterms:modified xsi:type="dcterms:W3CDTF">2023-11-03T12:28:00Z</dcterms:modified>
</cp:coreProperties>
</file>