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/>
      </w:pPr>
      <w:r>
        <w:rPr/>
        <w:t xml:space="preserve">Załącznik nr 12 </w:t>
      </w:r>
    </w:p>
    <w:p>
      <w:pPr>
        <w:pStyle w:val="Normal"/>
        <w:spacing w:lineRule="auto" w:line="240" w:before="0" w:after="0"/>
        <w:jc w:val="right"/>
        <w:rPr/>
      </w:pPr>
      <w:r>
        <w:rPr/>
      </w:r>
    </w:p>
    <w:p>
      <w:pPr>
        <w:pStyle w:val="Normal"/>
        <w:spacing w:lineRule="auto" w:line="240" w:before="0" w:after="0"/>
        <w:jc w:val="left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Znak: </w:t>
      </w:r>
      <w:r>
        <w:rPr>
          <w:rFonts w:ascii="Sylfaen" w:hAnsi="Sylfaen"/>
          <w:b w:val="false"/>
          <w:i w:val="false"/>
          <w:caps w:val="false"/>
          <w:smallCaps w:val="false"/>
          <w:color w:val="1A1A1A"/>
          <w:spacing w:val="0"/>
          <w:sz w:val="22"/>
          <w:szCs w:val="22"/>
        </w:rPr>
        <w:t>ZP-IX.271.17.2024.KS</w:t>
      </w:r>
      <w:r>
        <w:rPr>
          <w:rFonts w:ascii="Sylfaen" w:hAnsi="Sylfaen"/>
          <w:sz w:val="22"/>
          <w:szCs w:val="22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WZÓR KARTY GWARANCYJNEJ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i/>
          <w:color w:val="000000"/>
          <w:sz w:val="24"/>
          <w:szCs w:val="24"/>
          <w:lang w:eastAsia="zh-CN" w:bidi="hi-IN"/>
        </w:rPr>
        <w:t xml:space="preserve"> </w:t>
      </w:r>
      <w:r>
        <w:rPr>
          <w:rFonts w:eastAsia="Calibri" w:cs="Calibri"/>
          <w:b/>
          <w:i/>
          <w:color w:val="000000"/>
          <w:sz w:val="24"/>
          <w:szCs w:val="24"/>
          <w:lang w:eastAsia="zh-CN" w:bidi="hi-IN"/>
        </w:rPr>
        <w:t>(Gwarancja jakości)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GWARANTEM jest 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[ nazwa, adres ], będący wykonawcą zadania:</w:t>
      </w:r>
    </w:p>
    <w:p>
      <w:pPr>
        <w:pStyle w:val="Normal"/>
        <w:spacing w:lineRule="auto" w:line="240" w:before="0" w:after="0"/>
        <w:jc w:val="both"/>
        <w:rPr>
          <w:rFonts w:eastAsia="Calibri" w:cs="" w:cstheme="minorBidi" w:eastAsiaTheme="minorHAnsi"/>
          <w:highlight w:val="none"/>
          <w:shd w:fill="auto" w:val="clear"/>
        </w:rPr>
      </w:pPr>
      <w:r>
        <w:rPr>
          <w:rFonts w:eastAsia="Calibri" w:cs="" w:cstheme="minorBidi" w:eastAsiaTheme="minorHAnsi"/>
          <w:b/>
          <w:bCs/>
          <w:i/>
          <w:shd w:fill="auto" w:val="clear"/>
        </w:rPr>
        <w:t>„</w:t>
      </w:r>
      <w:r>
        <w:rPr>
          <w:rFonts w:eastAsia="Calibri" w:cs="" w:cstheme="minorBidi" w:eastAsiaTheme="minorHAnsi"/>
          <w:b/>
          <w:bCs/>
          <w:i/>
          <w:shd w:fill="auto" w:val="clear"/>
        </w:rPr>
        <w:t>Modernizację oświetlenia na terenie Gminy Chęciny” – dla Części (wpisać odpowiednią część i jej nazwę)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Uprawnionym z tytułu gwarancji jest:</w:t>
      </w:r>
    </w:p>
    <w:p>
      <w:pPr>
        <w:pStyle w:val="Normal"/>
        <w:spacing w:before="0" w:after="0"/>
        <w:jc w:val="both"/>
        <w:rPr>
          <w:rFonts w:ascii="Sylfaen" w:hAnsi="Sylfaen" w:cs="Sylfaen"/>
          <w:b/>
          <w:b/>
          <w:bCs/>
        </w:rPr>
      </w:pPr>
      <w:r>
        <w:rPr>
          <w:rFonts w:cs="Sylfaen" w:ascii="Sylfaen" w:hAnsi="Sylfaen"/>
          <w:b/>
          <w:bCs/>
        </w:rPr>
        <w:t>Gmina Chęciny</w:t>
      </w:r>
    </w:p>
    <w:p>
      <w:pPr>
        <w:pStyle w:val="Normal"/>
        <w:spacing w:before="0" w:after="0"/>
        <w:jc w:val="both"/>
        <w:rPr>
          <w:rFonts w:ascii="Sylfaen" w:hAnsi="Sylfaen" w:cs="Sylfaen"/>
          <w:b/>
          <w:b/>
          <w:bCs/>
        </w:rPr>
      </w:pPr>
      <w:r>
        <w:rPr>
          <w:rFonts w:cs="Sylfaen" w:ascii="Sylfaen" w:hAnsi="Sylfaen"/>
          <w:b/>
          <w:bCs/>
        </w:rPr>
        <w:t>pl. 2 czerwca 4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 w:ascii="Sylfaen" w:hAnsi="Sylfaen"/>
          <w:b/>
          <w:bCs/>
          <w:color w:val="000000"/>
          <w:sz w:val="24"/>
          <w:szCs w:val="24"/>
          <w:lang w:eastAsia="zh-CN" w:bidi="hi-IN"/>
        </w:rPr>
        <w:t>26 – 060 Chęciny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zwany dalej „zamawiającym”.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§ 1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Przedmiot i termin gwarancji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1. Niniejsza gwarancja obejmuje całość przedmiotu zamówienia określonego w Umowie Nr…… z dnia………. oraz w innych dokumentach będących integralną częścią Umowy.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2. Gwarant odpowiada wobec zamawiającego z tytułu niniejszej Karty Gwarancyjnej za cały przedmiot Umowy, w tym także za części realizowane przez podwykonawców.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3. Gwarant jest odpowiedzialny wobec zamawiającego za realizację wszystkich zobowiązań, o których mowa  w niniejszej gwarancji.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4. Termin gwarancji wynosi ...............miesiące licząc od dnia podpisania przez zamawiającego protokołu odbioru końcowego przejęcia do eksploatacji przedmiotu Umowy.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§ 2</w:t>
      </w:r>
    </w:p>
    <w:p>
      <w:pPr>
        <w:pStyle w:val="Normal"/>
        <w:keepNext w:val="true"/>
        <w:spacing w:lineRule="auto" w:line="240" w:before="0" w:after="0"/>
        <w:ind w:left="360" w:hanging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Obowiązki i uprawnienia stron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1. W przypadku wystąpienia jakiejkolwiek wady w przedmiocie Umowy zamawiający jest uprawniony do:</w:t>
      </w:r>
    </w:p>
    <w:p>
      <w:pPr>
        <w:pStyle w:val="Normal"/>
        <w:spacing w:lineRule="auto" w:line="240" w:before="0" w:after="0"/>
        <w:ind w:left="567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a) żądania usunięcia wady przedmiotu Umowy, a w przypadku, gdy dana rzecz wchodząca w zakres przedmiotu Umowy była już dwukrotnie naprawiana – do żądania wymiany tej rzeczy na nową, wolną od wad;</w:t>
      </w:r>
    </w:p>
    <w:p>
      <w:pPr>
        <w:pStyle w:val="Normal"/>
        <w:spacing w:lineRule="auto" w:line="240" w:before="0" w:after="0"/>
        <w:ind w:left="567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b) wskazania trybu usunięcia wady/wymiany rzeczy na wolną od wad;</w:t>
      </w:r>
    </w:p>
    <w:p>
      <w:pPr>
        <w:pStyle w:val="Normal"/>
        <w:spacing w:lineRule="auto" w:line="240" w:before="0" w:after="0"/>
        <w:ind w:left="567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c) żądania od Gwaranta odszkodowania (obejmującego zarówno poniesione straty, jak i utracone korzyści) jakiej doznał zamawiający lub osoby trzecie na skutek wystąpienia wad.</w:t>
      </w:r>
    </w:p>
    <w:p>
      <w:pPr>
        <w:pStyle w:val="Normal"/>
        <w:spacing w:lineRule="auto" w:line="240" w:before="0" w:after="0"/>
        <w:ind w:left="567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d) żądania od Gwaranta kary umownej za nieterminowe przystąpienie do usuwania wad/wymiany rzeczy na wolną od wad w wysokości 0,2 % wynagrodzenia brutto (włącznie z VAT) określonego w Umowie, za każdy dzień zwłoki;</w:t>
      </w:r>
    </w:p>
    <w:p>
      <w:pPr>
        <w:pStyle w:val="Normal"/>
        <w:spacing w:lineRule="auto" w:line="240" w:before="0" w:after="0"/>
        <w:ind w:left="567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e) żądania od Gwaranta odszkodowania za nieterminowe usunięcia wad/wymianę rzeczy na wolne od wad w wysokości przewyższającej kwotę kary umownej, o której mowa w lit. d). 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2. W przypadku wystąpienia jakiejkolwiek wady w przedmiocie Umowy Gwarant jest zobowiązany do:</w:t>
      </w:r>
    </w:p>
    <w:p>
      <w:pPr>
        <w:pStyle w:val="Normal"/>
        <w:spacing w:lineRule="auto" w:line="240" w:before="0" w:after="0"/>
        <w:ind w:left="426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a) terminowego spełnienia żądania zamawiającego dotyczącego usunięcia wady, przy czym usunięcie wady może nastąpić również poprzez wymianę rzeczy wchodzącej w zakres przedmiotu Umowy na wolną od wad;</w:t>
      </w:r>
    </w:p>
    <w:p>
      <w:pPr>
        <w:pStyle w:val="Normal"/>
        <w:spacing w:lineRule="auto" w:line="240" w:before="0" w:after="0"/>
        <w:ind w:left="426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b) zapłaty odszkodowania, o którym mowa w ust. 1 lit. c);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3. W przypadku nieterminowego przystąpienia do usunięcia wad lub nieterminowego usunięcia wad/wymiany rzeczy na wolną od wad Gwarant jest zobowiązany do:</w:t>
      </w:r>
    </w:p>
    <w:p>
      <w:pPr>
        <w:pStyle w:val="Normal"/>
        <w:spacing w:lineRule="auto" w:line="240" w:before="0" w:after="0"/>
        <w:ind w:left="426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a) zapłaty kary umownej, o której mowa w ust. 1 lit. d);</w:t>
      </w:r>
    </w:p>
    <w:p>
      <w:pPr>
        <w:pStyle w:val="Normal"/>
        <w:spacing w:lineRule="auto" w:line="240" w:before="0" w:after="0"/>
        <w:ind w:left="426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b) zapłaty odszkodowania, o którym mowa w ust. 1 lit. e).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4. Ilekroć w dalszych postanowieniach jest mowa o „usunięciu wady” należy przez to rozumieć również wymianę rzeczy wchodzącej w zakres przedmiotu Umowy na wolną od wad.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§ 3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Przeglądy gwarancyjne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1. Komisyjny przegląd gwarancyjny odbędzie się nie wcześniej niż na 6 miesięcy przed upływem ustalonego w Umowie terminu gwarancji oraz nie później niż na 30 dni przed upływem tego terminu.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2. Datę, godzinę i miejsce dokonania przeglądu gwarancyjnego wyznacza zamawiający, zawiadamiając o nim Gwaranta na piśmie z co najmniej 14 dniowym wyprzedzeniem.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3. W skład komisji przeglądowej będą wchodziły co najmniej 1 osoba wyznaczone przez Zamawiającego, co najmniej 1 osoba wyznaczone przez Gwaranta.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5. 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§ 4</w:t>
      </w:r>
    </w:p>
    <w:p>
      <w:pPr>
        <w:pStyle w:val="Normal"/>
        <w:keepNext w:val="true"/>
        <w:spacing w:lineRule="auto" w:line="240" w:before="0" w:after="0"/>
        <w:ind w:left="360" w:hanging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Wezwanie do usunięcia wady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W przypadku ujawnienia wady w czasie innym niż podczas przeglądu gwarancyjnego, Zamawiający niezwłocznie, lecz nie później niż w ciągu 7 dni od ujawnienia wady, zawiadomi na piśmie o niej Gwaranta, równocześnie wzywając go do usunięcia ujawnionej wady w odpowiednim trybie: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jc w:val="both"/>
        <w:textAlignment w:val="top"/>
        <w:outlineLvl w:val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zwykłym, o którym mowa w § 5 ust. 1, lub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jc w:val="both"/>
        <w:textAlignment w:val="top"/>
        <w:outlineLvl w:val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awaryjnym, o którym mowa w § 5 ust. 2.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§ 5</w:t>
      </w:r>
    </w:p>
    <w:p>
      <w:pPr>
        <w:pStyle w:val="Normal"/>
        <w:keepNext w:val="true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Tryby usuwania wad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Tryb zwykły: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1. Gwarant obowiązany jest przystąpić do usuwania ujawnionej wady w ciągu 7 dni kalendarzowych od daty otrzymania wezwania, o którym mowa w § 4 lub daty sporządzenia Protokołu Przeglądu Gwarancyjnego. Termin usuwania wad nie może być dłuższy niż 14 dni roboczych od daty otrzymania wezwania lub daty sporządzenia Protokołu Przeglądu Gwarancyjnego.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Tryb awaryjny:</w:t>
      </w:r>
      <w:bookmarkStart w:id="0" w:name="_GoBack"/>
      <w:bookmarkEnd w:id="0"/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2. 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 cierpiących zwłoki (o czym zamawiający poinformuje Gwaranta w wezwaniu, o którym mowa w § 4) Gwarant zobowiązany jest:</w:t>
      </w:r>
    </w:p>
    <w:p>
      <w:pPr>
        <w:pStyle w:val="Normal"/>
        <w:numPr>
          <w:ilvl w:val="0"/>
          <w:numId w:val="2"/>
        </w:numPr>
        <w:suppressAutoHyphens w:val="true"/>
        <w:spacing w:lineRule="auto" w:line="240" w:before="0" w:after="0"/>
        <w:jc w:val="both"/>
        <w:textAlignment w:val="top"/>
        <w:outlineLvl w:val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przystąpić do usuwania ujawnionej wady niezwłocznie, lecz nie później niż w ciągu 24 godzin od chwili otrzymania wezwania, o którym mowa § 4, lub od chwili sporządzenia Protokołu Przeglądu Gwarancyjnego,</w:t>
      </w:r>
    </w:p>
    <w:p>
      <w:pPr>
        <w:pStyle w:val="Normal"/>
        <w:numPr>
          <w:ilvl w:val="0"/>
          <w:numId w:val="2"/>
        </w:numPr>
        <w:suppressAutoHyphens w:val="true"/>
        <w:spacing w:lineRule="auto" w:line="240" w:before="0" w:after="0"/>
        <w:jc w:val="both"/>
        <w:textAlignment w:val="top"/>
        <w:outlineLvl w:val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usunąć wadę w najwcześniej możliwym terminie, nie później niż w ciągu 2 dni kalendarzowych od chwili otrzymania wezwania, o którym mowa w § 4 lub daty sporządzenia Protokołu Przeglądu Gwarancyjnego. 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3. Usunięcie wad uważa się za skuteczne z chwilą podpisania przez obie strony Protokołu odbioru prac  z usuwania wad.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§ 6</w:t>
      </w:r>
    </w:p>
    <w:p>
      <w:pPr>
        <w:pStyle w:val="Normal"/>
        <w:keepNext w:val="true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Komunikacja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1. Wszelka komunikacja pomiędzy stronami wymaga zachowania formy pisemnej. 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2. Komunikacja za pomocą telefaksu lub poczty elektronicznej (e-mail) będzie uważana za prowadzoną  w formie pisemnej, o ile treść telefaksu lub e-maila zostanie niezwłocznie potwierdzona na piśmie,  tj. poprzez nadanie w dniu wysłania faksu listu potwierdzającego treść faksu lub e-mail. Data otrzymania tak potwierdzonego faksu lub e-mail będzie uważana za datę otrzymania pisma.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3. Wszelkie pisma skierowane do Gwaranta należy wysyłać na adres: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    </w:t>
      </w:r>
      <w:r>
        <w:rPr>
          <w:rFonts w:eastAsia="Calibri" w:cs="Calibri"/>
          <w:color w:val="000000"/>
          <w:sz w:val="24"/>
          <w:szCs w:val="24"/>
          <w:lang w:eastAsia="zh-CN" w:bidi="hi-IN"/>
        </w:rPr>
        <w:t>[adres Wykonawcy, nr faksu, adres e-mail] ............................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4. Wszelkie pisma skierowane do zamawiającego należy wysyłać na adres: ............................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     </w:t>
      </w:r>
      <w:r>
        <w:rPr>
          <w:rFonts w:eastAsia="Calibri" w:cs="Calibri"/>
          <w:color w:val="000000"/>
          <w:sz w:val="24"/>
          <w:szCs w:val="24"/>
          <w:lang w:eastAsia="zh-CN" w:bidi="hi-IN"/>
        </w:rPr>
        <w:t>O zmianach w danych teleadresowych, o których mowa w ust. 3 i 4 strony obowiązane są informować się niezwłocznie, nie później niż 7 dni od chwili zaistnienia zmian, pod rygorem uznania wysłania korespondencji pod ostatnio znany adres za skutecznie doręczoną.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5. Gwarant jest obowiązany w terminie 7 dni od daty złożenia wniosku o upadłość lub likwidację powiadomić na piśmie o tym fakcie zamawiającego.</w:t>
      </w:r>
    </w:p>
    <w:p>
      <w:pPr>
        <w:pStyle w:val="Normal"/>
        <w:spacing w:lineRule="auto" w:line="240" w:before="0" w:after="0"/>
        <w:ind w:left="284" w:hanging="284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ind w:left="284" w:hanging="284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</w:r>
    </w:p>
    <w:p>
      <w:pPr>
        <w:pStyle w:val="Normal"/>
        <w:tabs>
          <w:tab w:val="clear" w:pos="708"/>
          <w:tab w:val="left" w:pos="7980" w:leader="none"/>
        </w:tabs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§ 7</w:t>
      </w:r>
    </w:p>
    <w:p>
      <w:pPr>
        <w:pStyle w:val="Normal"/>
        <w:keepNext w:val="true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Postanowienia końcowe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1. W sprawach nieuregulowanych zastosowanie mają odpowiednie przepisy prawa polskiego, </w:t>
        <w:br/>
        <w:t>w szczególności Kodeksu cywilnego.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2. Integralną częścią niniejszej Karty Gwarancyjnej jest Umowa oraz inne dokumenty będące jej nierozłączną częścią.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3. Wszelkie zmiany niniejszej Karty Gwarancyjnej wymagają formy pisemnej pod rygorem nieważności.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4. Niniejszą Kartę Gwarancyjną sporządzono w dwóch egzemplarzach na prawach oryginału, po jednym dla każdej ze stron.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GWARANT (WYKONAWCA):__ 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ylfaen">
    <w:charset w:val="01"/>
    <w:family w:val="roman"/>
    <w:pitch w:val="variable"/>
  </w:font>
  <w:font w:name="Sylfaen">
    <w:charset w:val="ee"/>
    <w:family w:val="roman"/>
    <w:pitch w:val="variable"/>
  </w:font>
  <w:font w:name="Noto Sans Symbols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  <w:drawing>
        <wp:inline distT="0" distB="0" distL="0" distR="0">
          <wp:extent cx="2105025" cy="733425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vertAlign w:val="baseline"/>
        <w:position w:val="0"/>
        <w:sz w:val="2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vertAlign w:val="baseline"/>
        <w:position w:val="0"/>
        <w:sz w:val="20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vertAlign w:val="baseline"/>
        <w:position w:val="0"/>
        <w:sz w:val="2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vertAlign w:val="baseline"/>
        <w:position w:val="0"/>
        <w:sz w:val="20"/>
        <w:sz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vertAlign w:val="baseline"/>
        <w:position w:val="0"/>
        <w:sz w:val="20"/>
        <w:sz w:val="20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vertAlign w:val="baseline"/>
        <w:position w:val="0"/>
        <w:sz w:val="20"/>
        <w:sz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vertAlign w:val="baseline"/>
        <w:position w:val="0"/>
        <w:sz w:val="20"/>
        <w:sz w:val="2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vertAlign w:val="baseline"/>
        <w:position w:val="0"/>
        <w:sz w:val="20"/>
        <w:sz w:val="20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vertAlign w:val="baseline"/>
        <w:position w:val="0"/>
        <w:sz w:val="20"/>
        <w:sz w:val="20"/>
      </w:rPr>
    </w:lvl>
  </w:abstractNum>
  <w:abstractNum w:abstractNumId="2">
    <w:lvl w:ilvl="0">
      <w:numFmt w:val="bullet"/>
      <w:lvlText w:val="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vertAlign w:val="baseline"/>
        <w:position w:val="0"/>
        <w:sz w:val="2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vertAlign w:val="baseline"/>
        <w:position w:val="0"/>
        <w:sz w:val="20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vertAlign w:val="baseline"/>
        <w:position w:val="0"/>
        <w:sz w:val="2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vertAlign w:val="baseline"/>
        <w:position w:val="0"/>
        <w:sz w:val="20"/>
        <w:sz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vertAlign w:val="baseline"/>
        <w:position w:val="0"/>
        <w:sz w:val="20"/>
        <w:sz w:val="20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vertAlign w:val="baseline"/>
        <w:position w:val="0"/>
        <w:sz w:val="20"/>
        <w:sz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vertAlign w:val="baseline"/>
        <w:position w:val="0"/>
        <w:sz w:val="20"/>
        <w:sz w:val="2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vertAlign w:val="baseline"/>
        <w:position w:val="0"/>
        <w:sz w:val="20"/>
        <w:sz w:val="20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vertAlign w:val="baseline"/>
        <w:position w:val="0"/>
        <w:sz w:val="20"/>
        <w:sz w:val="20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37125a"/>
    <w:rPr/>
  </w:style>
  <w:style w:type="character" w:styleId="StopkaZnak" w:customStyle="1">
    <w:name w:val="Stopka Znak"/>
    <w:basedOn w:val="DefaultParagraphFont"/>
    <w:uiPriority w:val="99"/>
    <w:qFormat/>
    <w:rsid w:val="0037125a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37125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37125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LibreOffice/7.3.2.2$Windows_X86_64 LibreOffice_project/49f2b1bff42cfccbd8f788c8dc32c1c309559be0</Application>
  <AppVersion>15.0000</AppVersion>
  <Pages>4</Pages>
  <Words>1032</Words>
  <Characters>6196</Characters>
  <CharactersWithSpaces>7179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Szmit</dc:creator>
  <dc:description/>
  <dc:language>pl-PL</dc:language>
  <cp:lastModifiedBy/>
  <dcterms:modified xsi:type="dcterms:W3CDTF">2024-09-02T12:14:29Z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