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0619E3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0619E3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0619E3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0619E3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0619E3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7B012B39" w14:textId="77777777" w:rsidR="000619E3" w:rsidRPr="000619E3" w:rsidRDefault="00B91407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0619E3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3</w:t>
            </w:r>
            <w:r w:rsidR="00B01D05" w:rsidRPr="000619E3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E7DB2CA" w14:textId="319DBDB0" w:rsidR="00122A30" w:rsidRPr="000619E3" w:rsidRDefault="00CE0A1D" w:rsidP="000619E3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CE0A1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</w:t>
            </w:r>
            <w:proofErr w:type="spellStart"/>
            <w:r w:rsidRPr="00CE0A1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convex</w:t>
            </w:r>
            <w:proofErr w:type="spellEnd"/>
            <w:r w:rsidRPr="00CE0A1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, liniową oraz kardiologiczną dla Szpitalnego Oddziału Ratunkowego wraz z instalacją, uruchomieniem i szkoleniem personelu.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0619E3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0619E3" w:rsidRDefault="00122A30" w:rsidP="000619E3">
      <w:pPr>
        <w:suppressAutoHyphens/>
        <w:autoSpaceDN w:val="0"/>
        <w:spacing w:after="120" w:line="288" w:lineRule="auto"/>
        <w:ind w:firstLine="426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0619E3" w:rsidRDefault="00122A30" w:rsidP="000619E3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519A5761" w:rsidR="001034B2" w:rsidRPr="000619E3" w:rsidRDefault="001034B2" w:rsidP="00B71A47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B17646" w:rsidRP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B71A47" w:rsidRPr="00B71A47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bookmarkStart w:id="0" w:name="_GoBack"/>
      <w:bookmarkEnd w:id="0"/>
      <w:r w:rsidR="00B17646" w:rsidRPr="000619E3">
        <w:rPr>
          <w:rFonts w:ascii="Garamond" w:eastAsia="Lucida Sans Unicode" w:hAnsi="Garamond" w:cs="Times New Roman"/>
          <w:kern w:val="3"/>
          <w:lang w:eastAsia="zh-CN" w:bidi="hi-IN"/>
        </w:rPr>
        <w:t>2023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), nieużywany, kompletny i do jego uruchomienia oraz stosowania zgodnie</w:t>
      </w:r>
      <w:r w:rsid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 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z przeznaczeniem nie jest konieczny zakup dodatkowych elementów i akcesoriów. Aparat ani jego część składowa, wyposażenie, nie jest sprzętem </w:t>
      </w:r>
      <w:proofErr w:type="spellStart"/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0619E3" w:rsidRDefault="002B61CE" w:rsidP="000619E3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0619E3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0619E3" w:rsidRDefault="00524AC6" w:rsidP="000619E3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0619E3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0619E3" w:rsidRDefault="008010BA" w:rsidP="000619E3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0619E3">
        <w:rPr>
          <w:rFonts w:ascii="Garamond" w:hAnsi="Garamond" w:cs="Times New Roman"/>
          <w:b/>
          <w:lang w:eastAsia="zh-CN"/>
        </w:rPr>
        <w:t>W kolumnie „</w:t>
      </w:r>
      <w:r w:rsidRPr="000619E3">
        <w:rPr>
          <w:rFonts w:ascii="Garamond" w:hAnsi="Garamond" w:cs="Times New Roman"/>
          <w:b/>
        </w:rPr>
        <w:t>Lokalizacja potwierdzenia [str. oferty]</w:t>
      </w:r>
      <w:r w:rsidRPr="000619E3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028C8FCD" w14:textId="5ACF680B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1D7492F" w14:textId="1B1F6C17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5DA6EED" w14:textId="1E5DE411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4F9AA5F" w14:textId="6909D8B9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0619E3" w:rsidRPr="00B41F7C" w14:paraId="6CC18E6B" w14:textId="77777777" w:rsidTr="000D0EE4">
        <w:trPr>
          <w:trHeight w:val="397"/>
        </w:trPr>
        <w:tc>
          <w:tcPr>
            <w:tcW w:w="2972" w:type="dxa"/>
            <w:shd w:val="clear" w:color="auto" w:fill="auto"/>
          </w:tcPr>
          <w:p w14:paraId="2063208B" w14:textId="77777777" w:rsidR="000619E3" w:rsidRPr="00B41F7C" w:rsidRDefault="000619E3" w:rsidP="000D0EE4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15E4273A" w14:textId="77777777" w:rsidR="000619E3" w:rsidRPr="00B41F7C" w:rsidRDefault="000619E3" w:rsidP="000D0EE4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0619E3" w:rsidRPr="00B41F7C" w14:paraId="5D08962A" w14:textId="77777777" w:rsidTr="000D0EE4">
        <w:trPr>
          <w:trHeight w:val="397"/>
        </w:trPr>
        <w:tc>
          <w:tcPr>
            <w:tcW w:w="2972" w:type="dxa"/>
            <w:shd w:val="clear" w:color="auto" w:fill="auto"/>
          </w:tcPr>
          <w:p w14:paraId="5881A178" w14:textId="77777777" w:rsidR="000619E3" w:rsidRPr="00B41F7C" w:rsidRDefault="000619E3" w:rsidP="000D0EE4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001C6984" w14:textId="77777777" w:rsidR="000619E3" w:rsidRPr="00B41F7C" w:rsidRDefault="000619E3" w:rsidP="000D0EE4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0619E3" w:rsidRPr="00B41F7C" w14:paraId="05A94925" w14:textId="77777777" w:rsidTr="000D0EE4">
        <w:trPr>
          <w:trHeight w:val="397"/>
        </w:trPr>
        <w:tc>
          <w:tcPr>
            <w:tcW w:w="2972" w:type="dxa"/>
            <w:shd w:val="clear" w:color="auto" w:fill="auto"/>
          </w:tcPr>
          <w:p w14:paraId="2D759F5A" w14:textId="77777777" w:rsidR="000619E3" w:rsidRPr="00B41F7C" w:rsidRDefault="000619E3" w:rsidP="000D0EE4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146F1C9C" w14:textId="77777777" w:rsidR="000619E3" w:rsidRPr="00B41F7C" w:rsidRDefault="000619E3" w:rsidP="000D0EE4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0619E3" w:rsidRPr="00B41F7C" w14:paraId="5FB0C4AC" w14:textId="77777777" w:rsidTr="000D0EE4">
        <w:trPr>
          <w:trHeight w:val="397"/>
        </w:trPr>
        <w:tc>
          <w:tcPr>
            <w:tcW w:w="2972" w:type="dxa"/>
            <w:shd w:val="clear" w:color="auto" w:fill="auto"/>
          </w:tcPr>
          <w:p w14:paraId="4A67B3F5" w14:textId="4F218D99" w:rsidR="000619E3" w:rsidRPr="00B41F7C" w:rsidRDefault="000619E3" w:rsidP="000D0EE4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922818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076F9B98" w14:textId="77777777" w:rsidR="000619E3" w:rsidRPr="00B41F7C" w:rsidRDefault="000619E3" w:rsidP="000D0EE4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0619E3" w:rsidRPr="00B41F7C" w14:paraId="0AF13E7F" w14:textId="77777777" w:rsidTr="000D0EE4">
        <w:trPr>
          <w:trHeight w:val="285"/>
        </w:trPr>
        <w:tc>
          <w:tcPr>
            <w:tcW w:w="2972" w:type="dxa"/>
            <w:shd w:val="clear" w:color="auto" w:fill="auto"/>
          </w:tcPr>
          <w:p w14:paraId="1B75EC01" w14:textId="77777777" w:rsidR="000619E3" w:rsidRPr="00B41F7C" w:rsidRDefault="000619E3" w:rsidP="000D0EE4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15EB9CF6" w14:textId="77777777" w:rsidR="000619E3" w:rsidRPr="00B41F7C" w:rsidRDefault="000619E3" w:rsidP="000D0EE4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39CC25B9" w14:textId="67CFEEFD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F105660" w14:textId="20CE5B06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786A6DC" w14:textId="73BC09CE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FD11368" w14:textId="62E24217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D0E46DF" w14:textId="47C19CAC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9A44D25" w14:textId="5F307C66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2214DD6" w14:textId="32B40374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0B8932B" w14:textId="77777777" w:rsidR="00460BFE" w:rsidRDefault="00460BFE" w:rsidP="00460BFE">
      <w:pPr>
        <w:spacing w:line="288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FF88EF8" w14:textId="50C495ED" w:rsidR="000619E3" w:rsidRPr="00B41F7C" w:rsidRDefault="000619E3" w:rsidP="00460BFE">
      <w:pPr>
        <w:spacing w:line="288" w:lineRule="auto"/>
        <w:ind w:left="993" w:hanging="142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  <w:gridCol w:w="3544"/>
      </w:tblGrid>
      <w:tr w:rsidR="000619E3" w:rsidRPr="00B41F7C" w14:paraId="3B559551" w14:textId="77777777" w:rsidTr="000D0EE4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91931D" w14:textId="77777777" w:rsidR="000619E3" w:rsidRPr="00B41F7C" w:rsidRDefault="000619E3" w:rsidP="000D0EE4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C5A345" w14:textId="77777777" w:rsidR="000619E3" w:rsidRPr="00B41F7C" w:rsidRDefault="000619E3" w:rsidP="000D0EE4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153879" w14:textId="77777777" w:rsidR="000619E3" w:rsidRPr="00B41F7C" w:rsidRDefault="000619E3" w:rsidP="000D0EE4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472D1" w14:textId="77777777" w:rsidR="000619E3" w:rsidRPr="00B41F7C" w:rsidRDefault="000619E3" w:rsidP="000D0EE4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0619E3" w:rsidRPr="00B41F7C" w14:paraId="0265FA06" w14:textId="77777777" w:rsidTr="000D0EE4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4E12A6" w14:textId="77777777" w:rsidR="000619E3" w:rsidRPr="00B41F7C" w:rsidRDefault="000619E3" w:rsidP="000D0EE4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E5C6C" w14:textId="77777777" w:rsidR="000619E3" w:rsidRPr="00B41F7C" w:rsidRDefault="000619E3" w:rsidP="000D0EE4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</w:t>
            </w:r>
            <w:proofErr w:type="spellStart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>convex</w:t>
            </w:r>
            <w:proofErr w:type="spellEnd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, liniowa oraz kardiologicznej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9C6736" w14:textId="77777777" w:rsidR="000619E3" w:rsidRPr="00B41F7C" w:rsidRDefault="000619E3" w:rsidP="000D0EE4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6380" w14:textId="77777777" w:rsidR="000619E3" w:rsidRPr="00B41F7C" w:rsidRDefault="000619E3" w:rsidP="000D0EE4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1D356776" w14:textId="77777777" w:rsidR="000619E3" w:rsidRPr="00B41F7C" w:rsidRDefault="000619E3" w:rsidP="000619E3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0619E3" w:rsidRPr="00B41F7C" w14:paraId="4B83AAA0" w14:textId="77777777" w:rsidTr="000D0EE4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EE4F3" w14:textId="77777777" w:rsidR="000619E3" w:rsidRPr="00B41F7C" w:rsidRDefault="000619E3" w:rsidP="000D0EE4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3208E8" w14:textId="77777777" w:rsidR="000619E3" w:rsidRPr="00B41F7C" w:rsidRDefault="000619E3" w:rsidP="000D0EE4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0A8C82D4" w14:textId="77777777" w:rsidR="000619E3" w:rsidRPr="00B41F7C" w:rsidRDefault="000619E3" w:rsidP="000D0EE4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0619E3" w:rsidRPr="00B41F7C" w14:paraId="6A7163D1" w14:textId="77777777" w:rsidTr="000D0EE4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58B07" w14:textId="77777777" w:rsidR="000619E3" w:rsidRPr="00B41F7C" w:rsidRDefault="000619E3" w:rsidP="000D0EE4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234949" w14:textId="77777777" w:rsidR="000619E3" w:rsidRPr="00B41F7C" w:rsidRDefault="000619E3" w:rsidP="000D0EE4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EBF42C5" w14:textId="77777777" w:rsidR="000619E3" w:rsidRPr="00B41F7C" w:rsidRDefault="000619E3" w:rsidP="000D0EE4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1B0F4A7B" w14:textId="77777777" w:rsidR="000619E3" w:rsidRPr="00B41F7C" w:rsidRDefault="000619E3" w:rsidP="000619E3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0619E3" w:rsidRPr="00B41F7C" w14:paraId="5C2C14E5" w14:textId="77777777" w:rsidTr="000D0EE4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A90655" w14:textId="77777777" w:rsidR="000619E3" w:rsidRPr="00B41F7C" w:rsidRDefault="000619E3" w:rsidP="000D0EE4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4C6D1" w14:textId="77777777" w:rsidR="000619E3" w:rsidRPr="00B41F7C" w:rsidRDefault="000619E3" w:rsidP="000D0EE4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222A6E49" w14:textId="77777777" w:rsidR="000619E3" w:rsidRPr="00117548" w:rsidRDefault="000619E3" w:rsidP="000619E3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50D598DF" w14:textId="77777777" w:rsidR="000619E3" w:rsidRPr="00B41F7C" w:rsidRDefault="000619E3" w:rsidP="000619E3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2D567F40" w14:textId="77777777" w:rsidR="000619E3" w:rsidRDefault="000619E3" w:rsidP="000619E3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06A4523F" w14:textId="05BBC88E" w:rsidR="000619E3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6F2F0CEC" w14:textId="77777777" w:rsidR="000619E3" w:rsidRPr="00410D6C" w:rsidRDefault="000619E3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0C0285" w:rsidRPr="000619E3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8656C" w14:textId="77777777" w:rsidR="000C0285" w:rsidRPr="00922818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2818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  <w:p w14:paraId="23F17548" w14:textId="5AA79668" w:rsidR="000C0285" w:rsidRPr="00922818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2818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0025C8D7" w:rsidR="000C0285" w:rsidRPr="00922818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2818">
              <w:rPr>
                <w:rFonts w:ascii="Garamond" w:hAnsi="Garamond" w:cs="Times New Roman"/>
                <w:b/>
              </w:rPr>
              <w:t>Lokalizacja potwierdzenia               [</w:t>
            </w:r>
            <w:r w:rsidRPr="00922818">
              <w:rPr>
                <w:rFonts w:ascii="Garamond" w:hAnsi="Garamond" w:cs="Times New Roman"/>
                <w:b/>
                <w:sz w:val="20"/>
                <w:szCs w:val="20"/>
              </w:rPr>
              <w:t>str. oferty –należy podać]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0C0285" w:rsidRPr="000619E3" w:rsidRDefault="000C0285" w:rsidP="000C02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0619E3" w14:paraId="33843488" w14:textId="77777777" w:rsidTr="00700B7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0619E3" w:rsidRDefault="00A73070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lastRenderedPageBreak/>
              <w:t>PARAMETRY OGÓLNE</w:t>
            </w:r>
          </w:p>
        </w:tc>
      </w:tr>
      <w:tr w:rsidR="00B91407" w:rsidRPr="000619E3" w14:paraId="72A22BCD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02FE79B1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Aparat stacjonarny, z podstawą jezdną na kołach z możliwością ich blokady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4CB4AF6D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778F2DCD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4B788366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4ADCFBA6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niezależnych gniazd do podłączenia głowic obrazowych min.3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6FCE21B0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0619E3">
              <w:rPr>
                <w:rFonts w:ascii="Garamond" w:hAnsi="Garamond" w:cs="Times New Roman"/>
                <w:color w:val="FF0000"/>
              </w:rPr>
              <w:t>- - -</w:t>
            </w:r>
          </w:p>
        </w:tc>
      </w:tr>
      <w:tr w:rsidR="00B91407" w:rsidRPr="000619E3" w14:paraId="72DDF89A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5CB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1F4B9B" w14:textId="1AAEE88C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Monitor przekątna min. 21”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17F" w14:textId="4E7B820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D52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A1D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6E2" w14:textId="4B501864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21964111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431C0326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Regulowane położenie konsoli w pionie (wysokość) i poziomie (obrót)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1C8C6BEA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39977D12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62E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7EC6BA6" w14:textId="24B19CCD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Ekran pomocniczy dotykowy min. 10”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072" w14:textId="254F3E66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A0C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FA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42A" w14:textId="5AD9C07C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678CC24B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901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0F276AA" w14:textId="4CD92FB3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Standardowe zasilanie sieciowe (230 V /50Hz) Zasilanie z baterii na min. 100 min.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6A7" w14:textId="7D89B6B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7E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48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492" w14:textId="114FB450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06D24796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F7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88D1E" w14:textId="4307CDF4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Aparat stacjonarny, z podstawą jezdną na kołach z możliwością ich blokady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303" w14:textId="42F65D95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65A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EC1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93C" w14:textId="39C50A0D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67F9A643" w14:textId="77777777" w:rsidTr="003362FD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BF2" w14:textId="0C35750A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PARAMETRY OBRAZOWANIA</w:t>
            </w:r>
          </w:p>
        </w:tc>
      </w:tr>
      <w:tr w:rsidR="00B91407" w:rsidRPr="000619E3" w14:paraId="5DE9862E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FCB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670ABA" w14:textId="395BB71F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Minimalny wybieralny zakres częstotliwości głowic 2,0-16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C17" w14:textId="4786EC8E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2E0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F105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7E5" w14:textId="682FA688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0FF6B745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85A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91459BB" w14:textId="77BD6A1A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Maksymalna głębokość obrazowania co najmniej 40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0A4" w14:textId="7197A76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17D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09CF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EB6" w14:textId="76B565F9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2F49C4B7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41A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1317F9" w14:textId="2B814CBC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Częstotliwość odświeżania obrazu  (dla obrazowania 2D) min. 800 </w:t>
            </w:r>
            <w:proofErr w:type="spellStart"/>
            <w:r w:rsidRPr="000619E3">
              <w:rPr>
                <w:rFonts w:ascii="Garamond" w:hAnsi="Garamond" w:cs="Times New Roman"/>
              </w:rPr>
              <w:t>fps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CB8" w14:textId="3423F74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0B3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569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394" w14:textId="0D99B78A" w:rsidR="00B91407" w:rsidRPr="000619E3" w:rsidRDefault="005B2818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040B39EA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CB45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C4FE97" w14:textId="78B5C377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Zakres dynamiki obrazowania min. 250 </w:t>
            </w:r>
            <w:proofErr w:type="spellStart"/>
            <w:r w:rsidRPr="000619E3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FAD" w14:textId="2556DA0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48C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CB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164" w14:textId="6E648C7C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1870AB4F" w14:textId="77777777" w:rsidTr="001201F8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E3D" w14:textId="27D7F519" w:rsidR="00B91407" w:rsidRPr="000619E3" w:rsidRDefault="00B91407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TRYBY OBRAZOWANIA</w:t>
            </w:r>
          </w:p>
        </w:tc>
      </w:tr>
      <w:tr w:rsidR="00B91407" w:rsidRPr="000619E3" w14:paraId="581D653D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612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B40ABA8" w14:textId="5992A257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2D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1F0" w14:textId="126467A7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8DE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45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19B" w14:textId="47E82B7C" w:rsidR="00B91407" w:rsidRPr="000619E3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B91407" w:rsidRPr="000619E3" w14:paraId="1C733693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229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23212" w14:textId="696AB81F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Automatyczna optymalizacja obrazu przy pomocy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8B5" w14:textId="0653723B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6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EA5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2B" w14:textId="07A56B19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70855497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FAE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36B9B5" w14:textId="3E267945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2D+M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C90" w14:textId="72D287D5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B3C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E5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F91" w14:textId="700A5D18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1CFB5266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236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192CC6C" w14:textId="65071725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Doppler spektralny z falą pulsacyjną (PW-D), maksymalna mierzona prędkość przepływu przy zerowym kącie min. 7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059" w14:textId="4FA979C2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C7F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FFE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6DA" w14:textId="58A26435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4D9D3085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FD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F377959" w14:textId="5C0FC06E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wielkości bramki (zakres min. 0,5-20 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60A" w14:textId="2212CF72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C00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B32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5EB" w14:textId="68EB187F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2AE402BC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A78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E261C3C" w14:textId="102A842B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Kolor Doppler, maksymalna prędkość przepływu min. 0,95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FDF1" w14:textId="36A1C3C1" w:rsidR="00B91407" w:rsidRPr="000619E3" w:rsidRDefault="00B91407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FB8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F2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660" w14:textId="6DF351B4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343DD6E8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CFB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53612B3" w14:textId="769A8693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Obrazowanie w trybie Spektralny Doppler Ciągły (CWD) dostępne na głowicy kardiologicznych </w:t>
            </w:r>
            <w:proofErr w:type="spellStart"/>
            <w:r w:rsidRPr="000619E3">
              <w:rPr>
                <w:rFonts w:ascii="Garamond" w:hAnsi="Garamond" w:cs="Times New Roman"/>
              </w:rPr>
              <w:t>Phased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619E3">
              <w:rPr>
                <w:rFonts w:ascii="Garamond" w:hAnsi="Garamond" w:cs="Times New Roman"/>
              </w:rPr>
              <w:t>Array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min: +/- 15 m/s przy zerowym kącie bramki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245" w14:textId="7B4EF5E8" w:rsidR="00B91407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F1B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7F0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F97" w14:textId="39E80717" w:rsidR="00B91407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B91407" w:rsidRPr="000619E3" w14:paraId="4D9F5F7C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EDE" w14:textId="77777777" w:rsidR="00B91407" w:rsidRPr="000619E3" w:rsidRDefault="00B91407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EA9319" w14:textId="72CC7833" w:rsidR="00B91407" w:rsidRPr="000619E3" w:rsidRDefault="00B91407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Zakres częstotliwość PRF dla</w:t>
            </w:r>
            <w:r w:rsidR="000274DD" w:rsidRPr="000619E3">
              <w:rPr>
                <w:rFonts w:ascii="Garamond" w:hAnsi="Garamond" w:cs="Times New Roman"/>
              </w:rPr>
              <w:t xml:space="preserve"> Dopplera Ciągłego min. 0,5 – 1,2</w:t>
            </w:r>
            <w:r w:rsidRPr="000619E3">
              <w:rPr>
                <w:rFonts w:ascii="Garamond" w:hAnsi="Garamond" w:cs="Times New Roman"/>
              </w:rPr>
              <w:t xml:space="preserve"> kHz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07DD" w14:textId="0B97EAE8" w:rsidR="00B91407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4B3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195" w14:textId="77777777" w:rsidR="00B91407" w:rsidRPr="000619E3" w:rsidRDefault="00B91407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0B5" w14:textId="57CD300B" w:rsidR="00B91407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0274DD" w:rsidRPr="000619E3" w14:paraId="278EB548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12D" w14:textId="77777777" w:rsidR="000274DD" w:rsidRPr="000619E3" w:rsidRDefault="000274D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C02939D" w14:textId="50714AF6" w:rsidR="000274DD" w:rsidRPr="000619E3" w:rsidRDefault="000274D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Power </w:t>
            </w:r>
            <w:proofErr w:type="spellStart"/>
            <w:r w:rsidRPr="000619E3">
              <w:rPr>
                <w:rFonts w:ascii="Garamond" w:hAnsi="Garamond" w:cs="Times New Roman"/>
              </w:rPr>
              <w:t>doppler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z oznaczeniem kierunku przepływu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6D2" w14:textId="65F97D09" w:rsidR="000274DD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FDB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1148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036" w14:textId="5E3A5B2F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0274DD" w:rsidRPr="000619E3" w14:paraId="18C4D886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E82" w14:textId="77777777" w:rsidR="000274DD" w:rsidRPr="000619E3" w:rsidRDefault="000274D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B9FA9A5" w14:textId="2555A5CC" w:rsidR="000274DD" w:rsidRPr="000619E3" w:rsidRDefault="000274D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Obrazowanie harmoniczne, min. 10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F4F" w14:textId="057A4298" w:rsidR="000274DD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E4D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714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290" w14:textId="7FC9036B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0274DD" w:rsidRPr="000619E3" w14:paraId="166CE9F9" w14:textId="77777777" w:rsidTr="00F324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022" w14:textId="77777777" w:rsidR="000274DD" w:rsidRPr="000619E3" w:rsidRDefault="000274D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50324DC" w14:textId="61C64232" w:rsidR="000274DD" w:rsidRPr="000619E3" w:rsidRDefault="000274D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Obrazowanie trapezowe i rombowe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1B7" w14:textId="1211F5DB" w:rsidR="000274DD" w:rsidRPr="000619E3" w:rsidRDefault="000274DD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280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3E2" w14:textId="77777777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577" w14:textId="5D952EE8" w:rsidR="000274DD" w:rsidRPr="000619E3" w:rsidRDefault="000274DD" w:rsidP="000619E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AF6B1B" w:rsidRPr="000619E3" w14:paraId="35E1AE19" w14:textId="77777777" w:rsidTr="00830D9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8E9" w14:textId="103674B5" w:rsidR="00AF6B1B" w:rsidRPr="000619E3" w:rsidRDefault="008B6ACE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="00C94F1A" w:rsidRPr="000619E3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C94F1A" w:rsidRPr="000619E3" w14:paraId="2B23A03C" w14:textId="77777777" w:rsidTr="00145111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31DEE0F7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0619E3">
              <w:rPr>
                <w:rFonts w:ascii="Garamond" w:hAnsi="Garamond" w:cs="Times New Roman"/>
              </w:rPr>
              <w:t>convex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o częstotliwościach obrazowania w zakresie min. 1,5-5,0 MHz, (możliwość wyboru częstotliwości przez operatora)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86D" w14:textId="77777777" w:rsid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 </w:t>
            </w:r>
            <w:r w:rsidR="000D1115" w:rsidRPr="000619E3">
              <w:rPr>
                <w:rFonts w:ascii="Garamond" w:hAnsi="Garamond" w:cs="Times New Roman"/>
              </w:rPr>
              <w:t>największy zakres – 3</w:t>
            </w:r>
            <w:r w:rsidRPr="000619E3">
              <w:rPr>
                <w:rFonts w:ascii="Garamond" w:hAnsi="Garamond" w:cs="Times New Roman"/>
              </w:rPr>
              <w:t xml:space="preserve"> pkt, wymagany – 0, </w:t>
            </w:r>
          </w:p>
          <w:p w14:paraId="44E1F292" w14:textId="6B24E892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C94F1A" w:rsidRPr="000619E3" w14:paraId="4D4CA69D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179AC446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Wykonanie w technologii wielowarstwowej lub w technologii szerokopasmowej wieloczęstotliwościowej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C5EE1DF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  <w:p w14:paraId="39704883" w14:textId="42B5DB0E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30AFB980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0B7F7D2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Pole obrazowania min. 70º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E8B5D13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29A01C08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F629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97B5FF6" w14:textId="5267CFB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Minimum 3 pasma częstotliwości obrazowania harmonicznego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468" w14:textId="08DB49B5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F1C8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3FE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50D" w14:textId="4AD4BD7F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56259CC4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1E38427C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w głowicy - min. 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72E9AB8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5E4586C5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615285" w:rsidRPr="000619E3" w14:paraId="2B74B1CA" w14:textId="77777777" w:rsidTr="00DA7E0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7DB" w14:textId="73A01931" w:rsidR="00615285" w:rsidRPr="000619E3" w:rsidRDefault="00C94F1A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C94F1A" w:rsidRPr="000619E3" w14:paraId="7F3EBA3C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003CB30D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liniowa o częstotliwościach obrazowania w zakresie min. 3,0-12,0 MHz,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1AD99A39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1A2D024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315FEA51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021CC90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Pole obrazowania mieszczące się w zakresie 38 -40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4936078B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52A59655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2559691D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Minimum 4 pasma częstotliwości obrazowania harmonicznego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41E05C2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051A9DB6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1CC03F5F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w głowicy -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3DE1DF4B" w:rsidR="00C94F1A" w:rsidRPr="000619E3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402" w14:textId="77777777" w:rsidR="007101F1" w:rsidRPr="007101F1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7101F1">
              <w:rPr>
                <w:rFonts w:ascii="Garamond" w:hAnsi="Garamond" w:cs="Times New Roman"/>
              </w:rPr>
              <w:t xml:space="preserve">największy zakres – 3 pkt, wymagany – 0, </w:t>
            </w:r>
          </w:p>
          <w:p w14:paraId="4BC5FA28" w14:textId="209EDB39" w:rsidR="00C94F1A" w:rsidRPr="000619E3" w:rsidRDefault="000D111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7101F1">
              <w:rPr>
                <w:rFonts w:ascii="Garamond" w:hAnsi="Garamond" w:cs="Times New Roman"/>
              </w:rPr>
              <w:t>inne proporcjonalnie mniej, względem największego zakresu</w:t>
            </w:r>
          </w:p>
        </w:tc>
      </w:tr>
      <w:tr w:rsidR="003634CB" w:rsidRPr="000619E3" w14:paraId="609B3A8C" w14:textId="77777777" w:rsidTr="00810B77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752" w14:textId="786ADEF9" w:rsidR="003634CB" w:rsidRPr="000619E3" w:rsidRDefault="003634CB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C94F1A" w:rsidRPr="000619E3" w14:paraId="3573601F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D2B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42AC0C9" w14:textId="49748F83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kardiologiczna </w:t>
            </w:r>
            <w:proofErr w:type="spellStart"/>
            <w:r w:rsidRPr="000619E3">
              <w:rPr>
                <w:rFonts w:ascii="Garamond" w:hAnsi="Garamond" w:cs="Times New Roman"/>
              </w:rPr>
              <w:t>Phased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619E3">
              <w:rPr>
                <w:rFonts w:ascii="Garamond" w:hAnsi="Garamond" w:cs="Times New Roman"/>
              </w:rPr>
              <w:t>Array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, Single </w:t>
            </w:r>
            <w:proofErr w:type="spellStart"/>
            <w:r w:rsidRPr="000619E3">
              <w:rPr>
                <w:rFonts w:ascii="Garamond" w:hAnsi="Garamond" w:cs="Times New Roman"/>
              </w:rPr>
              <w:t>Crystal</w:t>
            </w:r>
            <w:proofErr w:type="spellEnd"/>
            <w:r w:rsidRPr="000619E3">
              <w:rPr>
                <w:rFonts w:ascii="Garamond" w:hAnsi="Garamond" w:cs="Times New Roman"/>
              </w:rPr>
              <w:t>, szerokopasmowa, o częstotliwościach obrazowania w zakresie min. 1,5-4,5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3BA" w14:textId="4626755E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610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87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ECA" w14:textId="177813A6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C94F1A" w:rsidRPr="000619E3" w14:paraId="282C9C3C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C91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C0D1E8" w14:textId="597B056A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Kąt skanowania min. 90º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2D7" w14:textId="192C1E2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FD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6C9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941" w14:textId="749692C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C94F1A" w:rsidRPr="000619E3" w14:paraId="24731C4A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9FD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792C50" w14:textId="5F8B8D7F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Minimum 4 pasma częstotliwości obrazowania harmonicznego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E3" w14:textId="05976233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1C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5B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C32" w14:textId="4F88F2F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C94F1A" w:rsidRPr="000619E3" w14:paraId="3E4437D0" w14:textId="77777777" w:rsidTr="001451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C59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E3B290E" w14:textId="082E8FF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w głowicy - min.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F69" w14:textId="7CF657C2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CC3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B27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9D0" w14:textId="53DCF911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6C7F" w:rsidRPr="000619E3" w14:paraId="3C745BC5" w14:textId="77777777" w:rsidTr="00C2540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36B" w14:textId="77777777" w:rsidR="00D56C7F" w:rsidRPr="000619E3" w:rsidRDefault="00D56C7F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ARCHIWIZACJA</w:t>
            </w:r>
          </w:p>
        </w:tc>
      </w:tr>
      <w:tr w:rsidR="00C94F1A" w:rsidRPr="000619E3" w14:paraId="5DE8408A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640599F3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Pojemność pamięci CINE dla obrazów 2D: min. 14 000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52BF1C9D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1307839D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45EFF7FD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Pojemność pamięci CINE dla trybu </w:t>
            </w:r>
            <w:proofErr w:type="spellStart"/>
            <w:r w:rsidRPr="000619E3">
              <w:rPr>
                <w:rFonts w:ascii="Garamond" w:hAnsi="Garamond" w:cs="Times New Roman"/>
              </w:rPr>
              <w:t>doppler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kolor: min. 14 000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1BB27306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64685928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2E58E03D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209704A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Pojemność pamięci CINE dla trybu M lub </w:t>
            </w:r>
            <w:proofErr w:type="spellStart"/>
            <w:r w:rsidRPr="000619E3">
              <w:rPr>
                <w:rFonts w:ascii="Garamond" w:hAnsi="Garamond" w:cs="Times New Roman"/>
              </w:rPr>
              <w:t>doppler</w:t>
            </w:r>
            <w:proofErr w:type="spellEnd"/>
            <w:r w:rsidRPr="000619E3">
              <w:rPr>
                <w:rFonts w:ascii="Garamond" w:hAnsi="Garamond" w:cs="Times New Roman"/>
              </w:rPr>
              <w:t>: min. 10s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643AD135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68F77DB6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9287BB6" w:rsidR="00C94F1A" w:rsidRPr="000619E3" w:rsidRDefault="00C94F1A" w:rsidP="007101F1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Urządzenie wyposażone w wewnętrzny twardy dysk o poj. Min. 500 GB umożliwiający archiwizację raportów z badań, obrazów i pętli obrazowych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1B793C89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FB2EB02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Możliwość zapisu obrazów i pętli obrazowych na nośnikach ze złączem USB w formatach </w:t>
            </w:r>
            <w:proofErr w:type="spellStart"/>
            <w:r w:rsidRPr="000619E3">
              <w:rPr>
                <w:rFonts w:ascii="Garamond" w:hAnsi="Garamond" w:cs="Times New Roman"/>
              </w:rPr>
              <w:t>jpeg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0619E3">
              <w:rPr>
                <w:rFonts w:ascii="Garamond" w:hAnsi="Garamond" w:cs="Times New Roman"/>
              </w:rPr>
              <w:t>avi</w:t>
            </w:r>
            <w:proofErr w:type="spellEnd"/>
            <w:r w:rsidRPr="000619E3">
              <w:rPr>
                <w:rFonts w:ascii="Garamond" w:hAnsi="Garamond" w:cs="Times New Roman"/>
              </w:rPr>
              <w:t>, DICOM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00B401A0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435D5742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71CA83" w14:textId="671A3E37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0619E3">
              <w:rPr>
                <w:rFonts w:ascii="Garamond" w:hAnsi="Garamond" w:cs="Times New Roman"/>
              </w:rPr>
              <w:t>Videoprinter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czarno-biały sterowany z klawiatury aparatu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C94F1A" w:rsidRPr="000619E3" w14:paraId="41C0808E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A97" w14:textId="77777777" w:rsidR="00C94F1A" w:rsidRPr="000619E3" w:rsidRDefault="00C94F1A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E5B40E5" w14:textId="74D1AB3B" w:rsidR="00C94F1A" w:rsidRPr="000619E3" w:rsidRDefault="00C94F1A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Interfejs sieciowy DICOM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318" w14:textId="65E15761" w:rsidR="00C94F1A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882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66E" w14:textId="77777777" w:rsidR="00C94F1A" w:rsidRPr="000619E3" w:rsidRDefault="00C94F1A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AF" w14:textId="3E84CCBB" w:rsidR="00C94F1A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- - -</w:t>
            </w:r>
          </w:p>
        </w:tc>
      </w:tr>
      <w:tr w:rsidR="00E04A6E" w:rsidRPr="000619E3" w14:paraId="7DC9717F" w14:textId="77777777" w:rsidTr="0006670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DC8A" w14:textId="404D9258" w:rsidR="00E04A6E" w:rsidRPr="000619E3" w:rsidRDefault="00E04A6E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MODUŁ DIAGNOSTYCZNY – 2 sztuki</w:t>
            </w:r>
          </w:p>
        </w:tc>
      </w:tr>
      <w:tr w:rsidR="00D57AAD" w:rsidRPr="000619E3" w14:paraId="7A6543E6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545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316CEC" w14:textId="16C7E949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Przenośny moduł diagnostyczny z torbą/walizką dedykowaną do transportu,  o cyfrowym układzie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FF2" w14:textId="0F78C0BB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1F4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2F0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06C" w14:textId="0B9700AB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04CD5240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B02D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C0B9179" w14:textId="0C008C37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Maksymalna waga jednostki głównej max. 7,5 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B12" w14:textId="37750495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528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D6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36C" w14:textId="3B0158D8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286A87F1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2BC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4DB3083" w14:textId="7AFDCB32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Zasilanie sieciowe i bateryjne. Bateria w zestawie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FBE" w14:textId="602B64D2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0CF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54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51E" w14:textId="3DBA1D3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791EF339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0A6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8EA158" w14:textId="7569332C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Dynamika systemu min. 165 </w:t>
            </w:r>
            <w:proofErr w:type="spellStart"/>
            <w:r w:rsidRPr="000619E3">
              <w:rPr>
                <w:rFonts w:ascii="Garamond" w:hAnsi="Garamond" w:cs="Times New Roman"/>
              </w:rPr>
              <w:t>dB</w:t>
            </w:r>
            <w:proofErr w:type="spellEnd"/>
            <w:r w:rsidRPr="000619E3">
              <w:rPr>
                <w:rFonts w:ascii="Garamond" w:hAnsi="Garamond" w:cs="Times New Roman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9EC" w14:textId="578DE95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B1E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334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2C5" w14:textId="27FF195A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5766CC68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A47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2B43E79" w14:textId="5FDD227B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Ekran dotykowy min. 14 cali,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923" w14:textId="7A3D28C3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41B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B55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875" w14:textId="007C53C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6F265BAE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B00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B103F3F" w14:textId="4180C07F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kąta pochylenia ekranu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B43" w14:textId="6166945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5BB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8036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30A" w14:textId="3CA70170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6D167AA7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A7FE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3A0AA17" w14:textId="03658CA0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głębokości pola obrazowania min. 40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6FF" w14:textId="73E5D7AF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B08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5F2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5B1" w14:textId="6DEF011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23022C8A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D81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4D0C8B" w14:textId="69D08A59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Regulacja wzmocnienia „</w:t>
            </w:r>
            <w:proofErr w:type="spellStart"/>
            <w:r w:rsidRPr="000619E3">
              <w:rPr>
                <w:rFonts w:ascii="Garamond" w:hAnsi="Garamond" w:cs="Times New Roman"/>
              </w:rPr>
              <w:t>Gain</w:t>
            </w:r>
            <w:proofErr w:type="spellEnd"/>
            <w:r w:rsidRPr="000619E3">
              <w:rPr>
                <w:rFonts w:ascii="Garamond" w:hAnsi="Garamond" w:cs="Times New Roman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08F" w14:textId="7A865F1B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C2E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D53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01C" w14:textId="050A1878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1A12B3BA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B45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CDA88C8" w14:textId="3CA61778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Dedykowany wózek z 4 skrętnymi kołami z możliwością zamocowania konsoli USG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E04" w14:textId="4D958128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5B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E73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19D" w14:textId="6F5954C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2C98B076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29E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CDF6DC" w14:textId="24D271DB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Min. 3 aktywne gniazda sond obrazowych przełączanych elektronicznie,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922" w14:textId="33A1C131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491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900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52C" w14:textId="51168EC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68523138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D17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637D53D" w14:textId="6E970C66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Możliwość powiększenia obrazu diagnostycznego do pełnego ekranu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C62" w14:textId="2488217E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06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64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8ED" w14:textId="696FD6D5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58159E6C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788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2883185" w14:textId="2BFD7C0F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Kombinacje prezentowanych jednocześnie obrazów. Min.</w:t>
            </w:r>
            <w:r w:rsidRPr="000619E3">
              <w:rPr>
                <w:rFonts w:ascii="Garamond" w:hAnsi="Garamond"/>
              </w:rPr>
              <w:t xml:space="preserve"> </w:t>
            </w:r>
            <w:r w:rsidRPr="000619E3">
              <w:rPr>
                <w:rFonts w:ascii="Garamond" w:hAnsi="Garamond" w:cs="Times New Roman"/>
              </w:rPr>
              <w:t xml:space="preserve">Duplex </w:t>
            </w:r>
            <w:proofErr w:type="spellStart"/>
            <w:r w:rsidRPr="000619E3">
              <w:rPr>
                <w:rFonts w:ascii="Garamond" w:hAnsi="Garamond" w:cs="Times New Roman"/>
              </w:rPr>
              <w:t>mode</w:t>
            </w:r>
            <w:proofErr w:type="spellEnd"/>
            <w:r w:rsidRPr="000619E3">
              <w:rPr>
                <w:rFonts w:ascii="Garamond" w:hAnsi="Garamond" w:cs="Times New Roman"/>
              </w:rPr>
              <w:t>: B+CFM, B+CPA, B+DPD, B/M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18E" w14:textId="51A3314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6A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6AD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B63" w14:textId="02919D39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D57AAD" w:rsidRPr="000619E3" w14:paraId="5B9831D6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660" w14:textId="77777777" w:rsidR="00D57AAD" w:rsidRPr="000619E3" w:rsidRDefault="00D57AAD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F90E757" w14:textId="79958D4A" w:rsidR="00D57AAD" w:rsidRPr="000619E3" w:rsidRDefault="00D57AAD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Obrazowanie typu „</w:t>
            </w:r>
            <w:proofErr w:type="spellStart"/>
            <w:r w:rsidRPr="000619E3">
              <w:rPr>
                <w:rFonts w:ascii="Garamond" w:hAnsi="Garamond" w:cs="Times New Roman"/>
              </w:rPr>
              <w:t>Compound</w:t>
            </w:r>
            <w:proofErr w:type="spellEnd"/>
            <w:r w:rsidRPr="000619E3">
              <w:rPr>
                <w:rFonts w:ascii="Garamond" w:hAnsi="Garamond" w:cs="Times New Roman"/>
              </w:rPr>
              <w:t>”  (tzw. skrzyżowane ultradźwięki)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5F9" w14:textId="30DA98AF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48E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FEC" w14:textId="77777777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D63" w14:textId="27494024" w:rsidR="00D57AAD" w:rsidRPr="000619E3" w:rsidRDefault="00D57AAD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7CA27008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6A8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733AA26" w14:textId="795A449E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Wewnętrzny system archiwizacji danych z dyskiem twardym min. 128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C07" w14:textId="6ECC1A7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BC9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F96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E7E" w14:textId="55670162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7B08DF5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EF1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81C8047" w14:textId="1707619B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Oprogramowanie wspomagające wizualizację igły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DA3" w14:textId="1576F9D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187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4B13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FC4" w14:textId="6BACEA56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E2AC586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33A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AB3D7D4" w14:textId="113822B2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Raporty z badań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F40" w14:textId="0F26C780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EEC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0F3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37B" w14:textId="63A6C7FF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8A6AA10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916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A259F0B" w14:textId="77777777" w:rsidR="00EC17A0" w:rsidRPr="000619E3" w:rsidRDefault="00EC17A0" w:rsidP="000619E3">
            <w:pPr>
              <w:spacing w:after="0" w:line="240" w:lineRule="auto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Pełne oprogramowanie do badań:</w:t>
            </w:r>
          </w:p>
          <w:p w14:paraId="605329BC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Pediatrycznych,</w:t>
            </w:r>
          </w:p>
          <w:p w14:paraId="7174E8BC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Małych narządów,</w:t>
            </w:r>
          </w:p>
          <w:p w14:paraId="2D117387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Naczyniowych,</w:t>
            </w:r>
          </w:p>
          <w:p w14:paraId="1189C602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Brzusznych,</w:t>
            </w:r>
          </w:p>
          <w:p w14:paraId="6D7DE489" w14:textId="77777777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Mięśniowo-szkieletowych,</w:t>
            </w:r>
          </w:p>
          <w:p w14:paraId="11B54340" w14:textId="7725F854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Położniczych</w:t>
            </w:r>
          </w:p>
          <w:p w14:paraId="7D44EBD9" w14:textId="03D3BAD9" w:rsidR="00EC17A0" w:rsidRPr="000619E3" w:rsidRDefault="00EC17A0" w:rsidP="000619E3">
            <w:pPr>
              <w:numPr>
                <w:ilvl w:val="0"/>
                <w:numId w:val="196"/>
              </w:numPr>
              <w:autoSpaceDN w:val="0"/>
              <w:spacing w:after="0" w:line="240" w:lineRule="auto"/>
              <w:ind w:left="488"/>
              <w:rPr>
                <w:rFonts w:ascii="Garamond" w:eastAsia="Calibri" w:hAnsi="Garamond" w:cs="Calibri"/>
              </w:rPr>
            </w:pPr>
            <w:r w:rsidRPr="000619E3">
              <w:rPr>
                <w:rFonts w:ascii="Garamond" w:eastAsia="Calibri" w:hAnsi="Garamond" w:cs="Calibri"/>
              </w:rPr>
              <w:t>Ginekologicznych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023" w14:textId="609BF5A1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5BE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A7F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720" w14:textId="3F8F300C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69B8D29D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F36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EE6907" w14:textId="70E09F9B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0619E3">
              <w:rPr>
                <w:rFonts w:ascii="Garamond" w:hAnsi="Garamond" w:cs="Times New Roman"/>
              </w:rPr>
              <w:t>Convex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Zakres częstotliwości pracy min. 1,8 – 5,5 MHz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649" w14:textId="0085E254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911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642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6B9" w14:textId="733321CF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605D6B3F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F82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082C5D9" w14:textId="56872EA2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min. 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6FA" w14:textId="2B48547C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A2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BBC0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22E" w14:textId="0BA50028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3912CF0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C94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7C10CD" w14:textId="52FBFEEE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Głowica Liniowa zakres częstotliwości pracy min. 4.5 – 13,0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AAB" w14:textId="10DDD3B8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EB5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3C2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90F" w14:textId="5403BF0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19EE2305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BBA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A3A629" w14:textId="77419C49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min. 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9B3" w14:textId="29100171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39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2791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E59" w14:textId="2EC4F1E6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0C7458E9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528F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EF91E14" w14:textId="281A9111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0619E3">
              <w:rPr>
                <w:rFonts w:ascii="Garamond" w:hAnsi="Garamond" w:cs="Times New Roman"/>
              </w:rPr>
              <w:t>Phased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0619E3">
              <w:rPr>
                <w:rFonts w:ascii="Garamond" w:hAnsi="Garamond" w:cs="Times New Roman"/>
              </w:rPr>
              <w:t>Array</w:t>
            </w:r>
            <w:proofErr w:type="spellEnd"/>
            <w:r w:rsidRPr="000619E3">
              <w:rPr>
                <w:rFonts w:ascii="Garamond" w:hAnsi="Garamond" w:cs="Times New Roman"/>
              </w:rPr>
              <w:t xml:space="preserve"> zakres częstotliwości pracy min. 1,5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EEC" w14:textId="661401BC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C69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FB2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369" w14:textId="5480C36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EC17A0" w:rsidRPr="000619E3" w14:paraId="4B48731B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CFF" w14:textId="77777777" w:rsidR="00EC17A0" w:rsidRPr="000619E3" w:rsidRDefault="00EC17A0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3F985E1" w14:textId="712739A1" w:rsidR="00EC17A0" w:rsidRPr="000619E3" w:rsidRDefault="00EC17A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Liczba elementów min.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A27" w14:textId="28937BE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398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EB9" w14:textId="77777777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677" w14:textId="6AD5C8EB" w:rsidR="00EC17A0" w:rsidRPr="000619E3" w:rsidRDefault="00EC17A0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/>
              </w:rPr>
              <w:t>- - -</w:t>
            </w:r>
          </w:p>
        </w:tc>
      </w:tr>
      <w:tr w:rsidR="00414D06" w:rsidRPr="000619E3" w14:paraId="3298B70A" w14:textId="77777777" w:rsidTr="00F0562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B10" w14:textId="088C2EE5" w:rsidR="00414D06" w:rsidRPr="000619E3" w:rsidRDefault="00414D06" w:rsidP="000619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0619E3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2D7675" w:rsidRPr="000619E3" w14:paraId="7DD567A8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4476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7A810A6" w14:textId="12A082C8" w:rsidR="002D7675" w:rsidRPr="000619E3" w:rsidRDefault="002D7675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978" w14:textId="57EFD186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046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BE8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CC3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10CC0480" w14:textId="295A6889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1E85D1CB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FF8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1F9267" w14:textId="32C5E8E8" w:rsidR="002D7675" w:rsidRPr="000619E3" w:rsidRDefault="002D7675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3EE" w14:textId="47FEC918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B7C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EC9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BA2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36921D96" w14:textId="197AB0A2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27799E0D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41D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F1C238" w14:textId="636E00FB" w:rsidR="002D7675" w:rsidRPr="000619E3" w:rsidRDefault="002D7675" w:rsidP="007101F1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555" w14:textId="7355C1B5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9A9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4E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F77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5302A4D0" w14:textId="733F3732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3624199A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060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39D064F" w14:textId="1BA8A587" w:rsidR="002D7675" w:rsidRPr="000619E3" w:rsidRDefault="002D7675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0D2" w14:textId="3BA674F6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653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F66B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86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04F13FAA" w14:textId="5F470645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  <w:tr w:rsidR="002D7675" w:rsidRPr="000619E3" w14:paraId="1572F958" w14:textId="77777777" w:rsidTr="00DD05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5B7" w14:textId="77777777" w:rsidR="002D7675" w:rsidRPr="000619E3" w:rsidRDefault="002D7675" w:rsidP="000619E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A3CEE3" w14:textId="0E287620" w:rsidR="002D7675" w:rsidRPr="000619E3" w:rsidRDefault="002D7675" w:rsidP="007101F1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966" w14:textId="54274C1F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D36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4A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EFE" w14:textId="77777777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tak – 0,5 pkt</w:t>
            </w:r>
          </w:p>
          <w:p w14:paraId="01F0FEFE" w14:textId="18E14B5C" w:rsidR="002D7675" w:rsidRPr="000619E3" w:rsidRDefault="002D7675" w:rsidP="000619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0619E3" w:rsidRDefault="00122A30" w:rsidP="000619E3">
      <w:pPr>
        <w:spacing w:after="0" w:line="240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0619E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0619E3" w14:paraId="5E5A96BB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0619E3" w14:paraId="3229F433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0619E3" w14:paraId="0BE9B7B1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96C" w14:textId="0DC0D9FB" w:rsidR="00F74795" w:rsidRPr="00B44114" w:rsidRDefault="00122A30" w:rsidP="00B4411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0619E3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0619E3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  <w:r w:rsidR="00F7479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  <w:p w14:paraId="78E37EFC" w14:textId="084961BF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0619E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ędzie 5</w:t>
            </w:r>
            <w:r w:rsidR="00F74795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 lat </w:t>
            </w:r>
            <w:r w:rsidR="00F74795" w:rsidRPr="00922818">
              <w:rPr>
                <w:rFonts w:ascii="Garamond" w:eastAsia="Andale Sans UI" w:hAnsi="Garamond" w:cs="Times New Roman"/>
                <w:kern w:val="1"/>
                <w:lang w:eastAsia="pl-PL"/>
              </w:rPr>
              <w:t>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0F79" w14:textId="7BD0A117" w:rsidR="00122A30" w:rsidRDefault="0074236E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  <w:r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</w:t>
            </w:r>
            <w:r w:rsidRPr="00922818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</w:t>
            </w:r>
            <w:r w:rsidR="00922818" w:rsidRPr="00922818">
              <w:rPr>
                <w:rFonts w:ascii="Garamond" w:eastAsia="Andale Sans UI" w:hAnsi="Garamond" w:cs="Times New Roman"/>
                <w:kern w:val="1"/>
                <w:lang w:eastAsia="pl-PL"/>
              </w:rPr>
              <w:t>55</w:t>
            </w:r>
          </w:p>
          <w:p w14:paraId="4F496D5F" w14:textId="77777777" w:rsidR="00F74795" w:rsidRDefault="00F74795" w:rsidP="00F74795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21EA8">
              <w:rPr>
                <w:rFonts w:ascii="Garamond" w:hAnsi="Garamond" w:cs="Tahoma"/>
                <w:color w:val="000000"/>
                <w:sz w:val="20"/>
                <w:szCs w:val="20"/>
              </w:rPr>
              <w:t>Tak, podać</w:t>
            </w:r>
          </w:p>
          <w:p w14:paraId="4A8B8807" w14:textId="4EF5BC3D" w:rsidR="00F74795" w:rsidRPr="000619E3" w:rsidRDefault="00F74795" w:rsidP="00F747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E5B7F">
              <w:rPr>
                <w:rFonts w:ascii="Garamond" w:hAnsi="Garamond" w:cs="Tahoma"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C41" w14:textId="77777777" w:rsidR="00664849" w:rsidRDefault="00122A30" w:rsidP="006648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6AD4A837" w:rsidR="00122A30" w:rsidRPr="000619E3" w:rsidRDefault="00122A30" w:rsidP="006648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619E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inne proporcjonalnie mniej, względem najdłuższego okresu</w:t>
            </w:r>
          </w:p>
        </w:tc>
      </w:tr>
      <w:tr w:rsidR="00122A30" w:rsidRPr="000619E3" w14:paraId="5DF4B0DE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0619E3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0619E3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0619E3" w:rsidRDefault="00055FF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0619E3" w:rsidRDefault="00055FF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0619E3" w:rsidRDefault="00055FF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0619E3" w14:paraId="734E8DA9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0619E3" w:rsidRDefault="00122A30" w:rsidP="000619E3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0619E3" w14:paraId="39F6A7E4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0619E3" w:rsidRDefault="00122A3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60A4" w14:textId="77777777" w:rsidR="00122A30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1176573C" w:rsidR="00F74795" w:rsidRPr="000619E3" w:rsidRDefault="00F74795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0619E3" w:rsidRDefault="00122A30" w:rsidP="000619E3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0619E3" w:rsidRDefault="00122A30" w:rsidP="000619E3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0619E3" w14:paraId="3073223D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0619E3" w:rsidRDefault="00A53A72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Czas na naprawę usterki – do 5</w:t>
            </w:r>
            <w:r w:rsidR="00122A30" w:rsidRPr="000619E3">
              <w:rPr>
                <w:rFonts w:ascii="Garamond" w:hAnsi="Garamond" w:cs="Times New Roman"/>
              </w:rPr>
              <w:t xml:space="preserve"> dni, a w przypadku potrzeby sprow</w:t>
            </w:r>
            <w:r w:rsidRPr="000619E3">
              <w:rPr>
                <w:rFonts w:ascii="Garamond" w:hAnsi="Garamond" w:cs="Times New Roman"/>
              </w:rPr>
              <w:t>adzenia części zamiennych do - 10</w:t>
            </w:r>
            <w:r w:rsidR="00122A30" w:rsidRPr="000619E3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444E" w14:textId="50D665CC" w:rsidR="00122A30" w:rsidRDefault="00F74795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4C0C208B" w:rsidR="00F74795" w:rsidRPr="000619E3" w:rsidRDefault="00F74795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0619E3" w14:paraId="54BC2555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0619E3" w:rsidRDefault="00122A30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723" w14:textId="77777777" w:rsidR="00B44114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10F9DFBC" w:rsidR="00122A30" w:rsidRPr="00B44114" w:rsidRDefault="00122A30" w:rsidP="00B441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wpisu</w:t>
            </w:r>
            <w:r w:rsidR="00CF6251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</w:t>
            </w:r>
            <w:r w:rsidR="004F7698" w:rsidRPr="00B44114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0619E3" w14:paraId="4CA30DC3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5D08F6DA" w:rsidR="00122A30" w:rsidRPr="000619E3" w:rsidRDefault="00122A30" w:rsidP="00B4411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0619E3" w:rsidRDefault="0008341C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0619E3" w14:paraId="4A9BB5A0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B44114" w:rsidRDefault="00122A30" w:rsidP="000619E3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B44114">
              <w:rPr>
                <w:rFonts w:ascii="Garamond" w:hAnsi="Garamond" w:cs="Times New Roman"/>
                <w:spacing w:val="-8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0619E3" w14:paraId="214E62A9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7777777" w:rsidR="00122A30" w:rsidRPr="000619E3" w:rsidRDefault="008F1DC8" w:rsidP="000619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0619E3">
              <w:rPr>
                <w:rFonts w:ascii="Garamond" w:hAnsi="Garamond" w:cs="Times New Roman"/>
              </w:rPr>
              <w:t>Aparat jest</w:t>
            </w:r>
            <w:r w:rsidR="00122A30" w:rsidRPr="000619E3">
              <w:rPr>
                <w:rFonts w:ascii="Garamond" w:hAnsi="Garamond" w:cs="Times New Roman"/>
              </w:rPr>
              <w:t xml:space="preserve"> lub b</w:t>
            </w:r>
            <w:r w:rsidRPr="000619E3">
              <w:rPr>
                <w:rFonts w:ascii="Garamond" w:hAnsi="Garamond" w:cs="Times New Roman"/>
              </w:rPr>
              <w:t>ędzie</w:t>
            </w:r>
            <w:r w:rsidR="00122A30" w:rsidRPr="000619E3">
              <w:rPr>
                <w:rFonts w:ascii="Garamond" w:hAnsi="Garamond" w:cs="Times New Roman"/>
              </w:rPr>
              <w:t xml:space="preserve"> pozbawion</w:t>
            </w:r>
            <w:r w:rsidRPr="000619E3">
              <w:rPr>
                <w:rFonts w:ascii="Garamond" w:hAnsi="Garamond" w:cs="Times New Roman"/>
              </w:rPr>
              <w:t>y</w:t>
            </w:r>
            <w:r w:rsidR="00A05B21" w:rsidRPr="000619E3">
              <w:rPr>
                <w:rFonts w:ascii="Garamond" w:hAnsi="Garamond" w:cs="Times New Roman"/>
              </w:rPr>
              <w:t>, po zakończeniu gwarancji,</w:t>
            </w:r>
            <w:r w:rsidR="00122A30" w:rsidRPr="000619E3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0619E3">
              <w:rPr>
                <w:rFonts w:ascii="Garamond" w:hAnsi="Garamond" w:cs="Times New Roman"/>
              </w:rPr>
              <w:t xml:space="preserve">podmiot </w:t>
            </w:r>
            <w:r w:rsidR="00122A30" w:rsidRPr="000619E3">
              <w:rPr>
                <w:rFonts w:ascii="Garamond" w:hAnsi="Garamond" w:cs="Times New Roman"/>
              </w:rPr>
              <w:t xml:space="preserve"> w przypadku nie korzystania przez Zamawiającego </w:t>
            </w:r>
            <w:r w:rsidR="00B1199A" w:rsidRPr="000619E3">
              <w:rPr>
                <w:rFonts w:ascii="Garamond" w:hAnsi="Garamond" w:cs="Times New Roman"/>
              </w:rPr>
              <w:t xml:space="preserve">                       </w:t>
            </w:r>
            <w:r w:rsidR="00A05B21" w:rsidRPr="000619E3">
              <w:rPr>
                <w:rFonts w:ascii="Garamond" w:hAnsi="Garamond" w:cs="Times New Roman"/>
              </w:rPr>
              <w:t xml:space="preserve">                               </w:t>
            </w:r>
            <w:r w:rsidR="00122A30" w:rsidRPr="000619E3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0619E3" w:rsidRDefault="00D04772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0619E3" w14:paraId="3F3691E2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0619E3" w:rsidRDefault="00122A30" w:rsidP="000619E3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0619E3" w14:paraId="5E86F7F0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2ABA308" w:rsidR="00122A30" w:rsidRPr="000619E3" w:rsidRDefault="00122A30" w:rsidP="00B4411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lang w:eastAsia="ar-SA"/>
              </w:rPr>
              <w:t>Szkolenie dla personelu medycznego</w:t>
            </w:r>
            <w:r w:rsidR="00B44114">
              <w:rPr>
                <w:rFonts w:ascii="Garamond" w:eastAsia="Calibri" w:hAnsi="Garamond" w:cs="Times New Roman"/>
                <w:lang w:eastAsia="ar-SA"/>
              </w:rPr>
              <w:t xml:space="preserve"> </w:t>
            </w:r>
            <w:r w:rsidRPr="000619E3">
              <w:rPr>
                <w:rFonts w:ascii="Garamond" w:eastAsia="Calibri" w:hAnsi="Garamond" w:cs="Times New Roman"/>
                <w:lang w:eastAsia="ar-SA"/>
              </w:rPr>
              <w:t>i technicznego Dodatkowe sz</w:t>
            </w:r>
            <w:r w:rsidR="004F7698" w:rsidRPr="000619E3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0619E3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0619E3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0619E3" w:rsidRDefault="00D946AE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0619E3" w14:paraId="7686EB6C" w14:textId="77777777" w:rsidTr="007101F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0619E3" w:rsidRDefault="00122A30" w:rsidP="000619E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0619E3" w:rsidRDefault="00122A30" w:rsidP="000619E3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619E3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0619E3" w14:paraId="24E6FB9E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0619E3" w:rsidRDefault="00122A30" w:rsidP="000619E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0619E3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0619E3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0619E3" w14:paraId="24B4807D" w14:textId="77777777" w:rsidTr="00710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0619E3" w:rsidRDefault="00122A30" w:rsidP="000619E3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0619E3" w:rsidRDefault="002A5AFF" w:rsidP="000619E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0619E3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0619E3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0619E3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0619E3" w:rsidRDefault="00122A30" w:rsidP="000619E3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0619E3" w:rsidRDefault="00122A30" w:rsidP="000619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0619E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0619E3" w:rsidRDefault="0005288B" w:rsidP="00B44114">
      <w:pPr>
        <w:spacing w:after="0" w:line="240" w:lineRule="auto"/>
        <w:rPr>
          <w:rFonts w:ascii="Garamond" w:hAnsi="Garamond" w:cs="Times New Roman"/>
        </w:rPr>
      </w:pPr>
    </w:p>
    <w:sectPr w:rsidR="0005288B" w:rsidRPr="000619E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D731" w14:textId="77777777" w:rsidR="00FD30DD" w:rsidRDefault="00FD30DD" w:rsidP="005A1349">
      <w:pPr>
        <w:spacing w:after="0" w:line="240" w:lineRule="auto"/>
      </w:pPr>
      <w:r>
        <w:separator/>
      </w:r>
    </w:p>
  </w:endnote>
  <w:endnote w:type="continuationSeparator" w:id="0">
    <w:p w14:paraId="1709301C" w14:textId="77777777" w:rsidR="00FD30DD" w:rsidRDefault="00FD30DD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432492"/>
      <w:docPartObj>
        <w:docPartGallery w:val="Page Numbers (Bottom of Page)"/>
        <w:docPartUnique/>
      </w:docPartObj>
    </w:sdtPr>
    <w:sdtEndPr/>
    <w:sdtContent>
      <w:p w14:paraId="2392044C" w14:textId="52AD1CC6" w:rsidR="001863B2" w:rsidRDefault="001863B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47">
          <w:rPr>
            <w:noProof/>
          </w:rPr>
          <w:t>8</w:t>
        </w:r>
        <w:r>
          <w:fldChar w:fldCharType="end"/>
        </w:r>
      </w:p>
    </w:sdtContent>
  </w:sdt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C28A" w14:textId="77777777" w:rsidR="00FD30DD" w:rsidRDefault="00FD30DD" w:rsidP="005A1349">
      <w:pPr>
        <w:spacing w:after="0" w:line="240" w:lineRule="auto"/>
      </w:pPr>
      <w:r>
        <w:separator/>
      </w:r>
    </w:p>
  </w:footnote>
  <w:footnote w:type="continuationSeparator" w:id="0">
    <w:p w14:paraId="455078EC" w14:textId="77777777" w:rsidR="00FD30DD" w:rsidRDefault="00FD30DD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8290" w14:textId="6D0F272B" w:rsidR="000619E3" w:rsidRPr="00B41F7C" w:rsidRDefault="00355E29" w:rsidP="000619E3">
    <w:pPr>
      <w:pStyle w:val="Nagwek"/>
      <w:tabs>
        <w:tab w:val="clear" w:pos="9072"/>
        <w:tab w:val="left" w:pos="4980"/>
        <w:tab w:val="right" w:pos="10466"/>
      </w:tabs>
      <w:rPr>
        <w:rFonts w:ascii="Garamond" w:hAnsi="Garamond"/>
      </w:rPr>
    </w:pPr>
    <w:r w:rsidRPr="00355E29">
      <w:rPr>
        <w:rFonts w:ascii="Garamond" w:hAnsi="Garamond"/>
      </w:rPr>
      <w:t xml:space="preserve">        Sprawa znak: DFP.271.10.2024.KK</w:t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</w:r>
    <w:r w:rsidRPr="00355E29">
      <w:rPr>
        <w:rFonts w:ascii="Garamond" w:hAnsi="Garamond"/>
      </w:rPr>
      <w:tab/>
      <w:t xml:space="preserve">                        Załącznik nr 1a do SWZ</w:t>
    </w:r>
  </w:p>
  <w:p w14:paraId="3968EF18" w14:textId="77777777" w:rsidR="00951933" w:rsidRDefault="00951933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264C"/>
    <w:rsid w:val="00024004"/>
    <w:rsid w:val="00024B86"/>
    <w:rsid w:val="000256E3"/>
    <w:rsid w:val="000261F4"/>
    <w:rsid w:val="000274DD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E3"/>
    <w:rsid w:val="000619FE"/>
    <w:rsid w:val="000625FF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0285"/>
    <w:rsid w:val="000C162A"/>
    <w:rsid w:val="000C2357"/>
    <w:rsid w:val="000C40B4"/>
    <w:rsid w:val="000C752E"/>
    <w:rsid w:val="000C776B"/>
    <w:rsid w:val="000D1115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46B1"/>
    <w:rsid w:val="000F4CFA"/>
    <w:rsid w:val="000F57CC"/>
    <w:rsid w:val="000F580D"/>
    <w:rsid w:val="000F6C0F"/>
    <w:rsid w:val="000F7FEB"/>
    <w:rsid w:val="001034B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25CE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63B2"/>
    <w:rsid w:val="0018711B"/>
    <w:rsid w:val="001909B8"/>
    <w:rsid w:val="00190FD7"/>
    <w:rsid w:val="0019342F"/>
    <w:rsid w:val="00195076"/>
    <w:rsid w:val="00197C35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4672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18B4"/>
    <w:rsid w:val="00222B3D"/>
    <w:rsid w:val="00223CF7"/>
    <w:rsid w:val="002242FE"/>
    <w:rsid w:val="002244ED"/>
    <w:rsid w:val="00226AF4"/>
    <w:rsid w:val="00227F35"/>
    <w:rsid w:val="0023009C"/>
    <w:rsid w:val="00230671"/>
    <w:rsid w:val="00230B86"/>
    <w:rsid w:val="0023275E"/>
    <w:rsid w:val="002410AD"/>
    <w:rsid w:val="002414D6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4985"/>
    <w:rsid w:val="002B61CE"/>
    <w:rsid w:val="002B7CD4"/>
    <w:rsid w:val="002C2BCD"/>
    <w:rsid w:val="002C385A"/>
    <w:rsid w:val="002C63E3"/>
    <w:rsid w:val="002D29FD"/>
    <w:rsid w:val="002D3C58"/>
    <w:rsid w:val="002D41E3"/>
    <w:rsid w:val="002D5363"/>
    <w:rsid w:val="002D6775"/>
    <w:rsid w:val="002D76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040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30284"/>
    <w:rsid w:val="00330E9A"/>
    <w:rsid w:val="003458DF"/>
    <w:rsid w:val="00346AB8"/>
    <w:rsid w:val="003473BC"/>
    <w:rsid w:val="003477B2"/>
    <w:rsid w:val="00350A70"/>
    <w:rsid w:val="003517F4"/>
    <w:rsid w:val="003519F0"/>
    <w:rsid w:val="00351D36"/>
    <w:rsid w:val="003522D2"/>
    <w:rsid w:val="00354805"/>
    <w:rsid w:val="00355E29"/>
    <w:rsid w:val="00355EFB"/>
    <w:rsid w:val="00362A86"/>
    <w:rsid w:val="003634CB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4D06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0BFE"/>
    <w:rsid w:val="004614BF"/>
    <w:rsid w:val="00464BD6"/>
    <w:rsid w:val="0046540D"/>
    <w:rsid w:val="00467C63"/>
    <w:rsid w:val="00471BA4"/>
    <w:rsid w:val="004720A2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E7B93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3C0"/>
    <w:rsid w:val="005538BE"/>
    <w:rsid w:val="0055617D"/>
    <w:rsid w:val="00557685"/>
    <w:rsid w:val="005613E9"/>
    <w:rsid w:val="005638BB"/>
    <w:rsid w:val="005675F2"/>
    <w:rsid w:val="00567D48"/>
    <w:rsid w:val="0057488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2818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5F584C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1B5B"/>
    <w:rsid w:val="0062237D"/>
    <w:rsid w:val="006226CA"/>
    <w:rsid w:val="00622DDE"/>
    <w:rsid w:val="00623FF0"/>
    <w:rsid w:val="006248A7"/>
    <w:rsid w:val="00632984"/>
    <w:rsid w:val="00634295"/>
    <w:rsid w:val="00646FA9"/>
    <w:rsid w:val="00650B3C"/>
    <w:rsid w:val="00652A47"/>
    <w:rsid w:val="00654620"/>
    <w:rsid w:val="00654E28"/>
    <w:rsid w:val="00655814"/>
    <w:rsid w:val="00656058"/>
    <w:rsid w:val="00657CD0"/>
    <w:rsid w:val="00661F83"/>
    <w:rsid w:val="00662CC8"/>
    <w:rsid w:val="00664849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26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371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6853"/>
    <w:rsid w:val="00706BA0"/>
    <w:rsid w:val="007101F1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236E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5D97"/>
    <w:rsid w:val="007F0ADA"/>
    <w:rsid w:val="007F14FB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473E5"/>
    <w:rsid w:val="008509AC"/>
    <w:rsid w:val="00852062"/>
    <w:rsid w:val="00853906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145B"/>
    <w:rsid w:val="00897300"/>
    <w:rsid w:val="008A1064"/>
    <w:rsid w:val="008A1D28"/>
    <w:rsid w:val="008A318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6656"/>
    <w:rsid w:val="008E0F2E"/>
    <w:rsid w:val="008E3C8F"/>
    <w:rsid w:val="008E4F6B"/>
    <w:rsid w:val="008E6D45"/>
    <w:rsid w:val="008F00FE"/>
    <w:rsid w:val="008F0B71"/>
    <w:rsid w:val="008F1DC8"/>
    <w:rsid w:val="008F1EE7"/>
    <w:rsid w:val="008F2399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818"/>
    <w:rsid w:val="00922C04"/>
    <w:rsid w:val="009232A2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5FDC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06E3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3E44"/>
    <w:rsid w:val="00A441D7"/>
    <w:rsid w:val="00A4631C"/>
    <w:rsid w:val="00A51294"/>
    <w:rsid w:val="00A51D61"/>
    <w:rsid w:val="00A52EB0"/>
    <w:rsid w:val="00A53A72"/>
    <w:rsid w:val="00A54E81"/>
    <w:rsid w:val="00A577A7"/>
    <w:rsid w:val="00A60ACC"/>
    <w:rsid w:val="00A61589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323D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4114"/>
    <w:rsid w:val="00B4607E"/>
    <w:rsid w:val="00B5230C"/>
    <w:rsid w:val="00B52C8C"/>
    <w:rsid w:val="00B54E2D"/>
    <w:rsid w:val="00B57916"/>
    <w:rsid w:val="00B57B7F"/>
    <w:rsid w:val="00B57D36"/>
    <w:rsid w:val="00B6205F"/>
    <w:rsid w:val="00B62CB7"/>
    <w:rsid w:val="00B6641E"/>
    <w:rsid w:val="00B66CBB"/>
    <w:rsid w:val="00B717A3"/>
    <w:rsid w:val="00B71A47"/>
    <w:rsid w:val="00B72C77"/>
    <w:rsid w:val="00B7484C"/>
    <w:rsid w:val="00B75837"/>
    <w:rsid w:val="00B75C0D"/>
    <w:rsid w:val="00B83466"/>
    <w:rsid w:val="00B85D8B"/>
    <w:rsid w:val="00B874C1"/>
    <w:rsid w:val="00B9112A"/>
    <w:rsid w:val="00B91407"/>
    <w:rsid w:val="00B9491A"/>
    <w:rsid w:val="00B95967"/>
    <w:rsid w:val="00B961D4"/>
    <w:rsid w:val="00B96F16"/>
    <w:rsid w:val="00B97CEB"/>
    <w:rsid w:val="00BA17E5"/>
    <w:rsid w:val="00BA253C"/>
    <w:rsid w:val="00BA3BC5"/>
    <w:rsid w:val="00BB1A70"/>
    <w:rsid w:val="00BB3319"/>
    <w:rsid w:val="00BB7563"/>
    <w:rsid w:val="00BC192A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94F1A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0A1D"/>
    <w:rsid w:val="00CE14FB"/>
    <w:rsid w:val="00CE1FC2"/>
    <w:rsid w:val="00CE4564"/>
    <w:rsid w:val="00CE623C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2AF6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57AAD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4A6E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17A0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67A"/>
    <w:rsid w:val="00EF6A3C"/>
    <w:rsid w:val="00F00E22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30B2"/>
    <w:rsid w:val="00F43BEE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4795"/>
    <w:rsid w:val="00F75000"/>
    <w:rsid w:val="00F806FB"/>
    <w:rsid w:val="00F83A62"/>
    <w:rsid w:val="00F85600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0BDF"/>
    <w:rsid w:val="00FB3191"/>
    <w:rsid w:val="00FB5A96"/>
    <w:rsid w:val="00FC0A54"/>
    <w:rsid w:val="00FC2F3D"/>
    <w:rsid w:val="00FC38F1"/>
    <w:rsid w:val="00FC3B17"/>
    <w:rsid w:val="00FC3B43"/>
    <w:rsid w:val="00FC751F"/>
    <w:rsid w:val="00FD30DD"/>
    <w:rsid w:val="00FD3B56"/>
    <w:rsid w:val="00FD4C81"/>
    <w:rsid w:val="00FE0672"/>
    <w:rsid w:val="00FE2C05"/>
    <w:rsid w:val="00FE3501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5A63-A952-4A3B-977E-47E5EBB9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Marta Kowalczyk</cp:lastModifiedBy>
  <cp:revision>8</cp:revision>
  <cp:lastPrinted>2023-10-11T11:01:00Z</cp:lastPrinted>
  <dcterms:created xsi:type="dcterms:W3CDTF">2024-01-15T08:25:00Z</dcterms:created>
  <dcterms:modified xsi:type="dcterms:W3CDTF">2024-01-31T10:36:00Z</dcterms:modified>
</cp:coreProperties>
</file>