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EDC" w14:textId="77777777" w:rsidR="00CE0933" w:rsidRDefault="00CE0933" w:rsidP="00CE0933">
      <w:pPr>
        <w:jc w:val="right"/>
      </w:pPr>
      <w:r>
        <w:t>Załącznik nr 2 do zapytania ofertowego</w:t>
      </w:r>
    </w:p>
    <w:p w14:paraId="4B466D0A" w14:textId="77777777" w:rsidR="00CE0933" w:rsidRDefault="00CE0933" w:rsidP="00CE0933">
      <w:pPr>
        <w:jc w:val="right"/>
      </w:pPr>
    </w:p>
    <w:p w14:paraId="67D200DB" w14:textId="77777777" w:rsidR="00CE0933" w:rsidRDefault="00CE0933" w:rsidP="00CE0933">
      <w:pPr>
        <w:jc w:val="center"/>
      </w:pPr>
      <w:r>
        <w:t>FORMULARZ PRZEDMIOTOWO - CENOWY</w:t>
      </w:r>
    </w:p>
    <w:p w14:paraId="53C5ADE2" w14:textId="46D851B1" w:rsidR="00CE0933" w:rsidRDefault="00CE0933" w:rsidP="00CE09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4885"/>
        <w:gridCol w:w="930"/>
        <w:gridCol w:w="867"/>
        <w:gridCol w:w="1392"/>
        <w:gridCol w:w="1239"/>
        <w:gridCol w:w="852"/>
        <w:gridCol w:w="1292"/>
        <w:gridCol w:w="1884"/>
      </w:tblGrid>
      <w:tr w:rsidR="00CE0933" w:rsidRPr="00D962BB" w14:paraId="2CC48BF0" w14:textId="77777777" w:rsidTr="006D65E6">
        <w:trPr>
          <w:trHeight w:val="482"/>
        </w:trPr>
        <w:tc>
          <w:tcPr>
            <w:tcW w:w="662" w:type="dxa"/>
          </w:tcPr>
          <w:p w14:paraId="61ACA6F8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989" w:type="dxa"/>
          </w:tcPr>
          <w:p w14:paraId="378E5934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6B00E2F3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4" w:type="dxa"/>
          </w:tcPr>
          <w:p w14:paraId="1C0F73EC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7" w:type="dxa"/>
          </w:tcPr>
          <w:p w14:paraId="17DEF117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0" w:type="dxa"/>
          </w:tcPr>
          <w:p w14:paraId="5ED3B65A" w14:textId="77777777" w:rsidR="00CE0933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7B0780F8" w14:textId="77777777" w:rsidR="00CE0933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7" w:type="dxa"/>
          </w:tcPr>
          <w:p w14:paraId="69EBA7F9" w14:textId="77777777" w:rsidR="00CE0933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21" w:type="dxa"/>
          </w:tcPr>
          <w:p w14:paraId="1097DB4B" w14:textId="77777777" w:rsidR="00CE0933" w:rsidRDefault="00CE0933" w:rsidP="006D65E6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CE0933" w:rsidRPr="00D962BB" w14:paraId="36C61602" w14:textId="77777777" w:rsidTr="006D65E6">
        <w:trPr>
          <w:trHeight w:val="3152"/>
        </w:trPr>
        <w:tc>
          <w:tcPr>
            <w:tcW w:w="662" w:type="dxa"/>
          </w:tcPr>
          <w:p w14:paraId="0B3938CD" w14:textId="77777777" w:rsidR="00CE0933" w:rsidRPr="00D962BB" w:rsidRDefault="00CE0933" w:rsidP="006D65E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2D44D64F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44DE5344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202D24E2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7EECA905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581D2A7D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71F3D90B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32DA80D2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038CBBA7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4907B475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47A2CE96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4BDC216A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14:paraId="6A8CCFEB" w14:textId="77777777" w:rsidR="00CE0933" w:rsidRDefault="00CE0933" w:rsidP="00CE0933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Spektrofotometr UV-VIS z technologią wiązki odniesienia, z lampą ksenonową, z możliwością analizy spektrum oraz kinetyki. </w:t>
            </w:r>
          </w:p>
          <w:p w14:paraId="336B04CD" w14:textId="135CCF63" w:rsidR="00CE0933" w:rsidRDefault="00CE0933" w:rsidP="00CE0933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Zakres widma promieniowania 190-1100 nm lub szerszy, szerokość pasma 1,8 nm, dokładność 1 nm lub lepsza (w trybie skanu 0,1 nm), powtarzalność 0,2 nm, powtarzalność absorbancji 0.003 w zakresie widma 200-800 nm, z uchwytem na kuwety prostokątne 10, 20, 50 i 100 mm oraz okrągłe 16 mm. Model spektrofotometru powinien być dostosowany do użycia z szeroką gamą gotowych zestawów odczynników (tzw. testów kuwetowych), m.in. w celu oznaczania stężeń w wodzie jonów azotanowych, fosforanowych (PO</w:t>
            </w:r>
            <w:r>
              <w:rPr>
                <w:rFonts w:eastAsia="SimSun"/>
                <w:sz w:val="24"/>
                <w:szCs w:val="24"/>
                <w:vertAlign w:val="subscript"/>
              </w:rPr>
              <w:t>4</w:t>
            </w:r>
            <w:r>
              <w:rPr>
                <w:rFonts w:eastAsia="SimSun"/>
                <w:sz w:val="24"/>
                <w:szCs w:val="24"/>
                <w:vertAlign w:val="superscript"/>
              </w:rPr>
              <w:t>3-</w:t>
            </w:r>
            <w:r>
              <w:rPr>
                <w:rFonts w:eastAsia="SimSun"/>
                <w:sz w:val="24"/>
                <w:szCs w:val="24"/>
              </w:rPr>
              <w:t xml:space="preserve"> z poziomem oznaczalności 0,02 mg/L) i amonowych, surfaktantów i wybranych metali, a także do oznaczania parametru „chemiczne zapotrzebowanie na tlen” (COD), oraz mieć możliwość programowania dodatkowych metod użytkownika. Powinien posiadać wbudowaną możliwość monitorowania matrycy próbki. </w:t>
            </w:r>
            <w:r>
              <w:rPr>
                <w:rFonts w:eastAsia="SimSun"/>
                <w:sz w:val="24"/>
                <w:szCs w:val="24"/>
              </w:rPr>
              <w:lastRenderedPageBreak/>
              <w:t>Możliwość pomiaru przy otwartej pokrywie i skanowania kodów kreskowych testów kuwetowych.</w:t>
            </w:r>
          </w:p>
          <w:p w14:paraId="2BA3FD06" w14:textId="77777777" w:rsidR="00CE0933" w:rsidRDefault="00CE0933" w:rsidP="00CE0933">
            <w:r>
              <w:rPr>
                <w:rFonts w:eastAsia="SimSun"/>
                <w:sz w:val="24"/>
                <w:szCs w:val="24"/>
              </w:rPr>
              <w:t>Urządzenie powinno być zgodne z Dyrektywą UE o kompatybilności  elektromagnetycznej  (dyrektywą 2014/30/UE) i posiadać tryb oszczędzania energii. Zestaw z wtyczką europejską. Menu i instrukcja obsługi w języku polskim i angielskim. Waga urządzenia &lt;7 kg, możliwość użytkowania w laboratorium terenowym, w temperaturze &gt;10°C (do 35°C).</w:t>
            </w:r>
          </w:p>
          <w:p w14:paraId="211A0754" w14:textId="77777777" w:rsidR="00CE0933" w:rsidRPr="00D962BB" w:rsidRDefault="00CE0933" w:rsidP="006D65E6">
            <w:pPr>
              <w:rPr>
                <w:sz w:val="22"/>
                <w:szCs w:val="22"/>
                <w:lang w:val="en-US"/>
              </w:rPr>
            </w:pPr>
          </w:p>
          <w:p w14:paraId="7E97E82B" w14:textId="77777777" w:rsidR="00CE0933" w:rsidRPr="00D962BB" w:rsidRDefault="00CE0933" w:rsidP="006D65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24B2C4D7" w14:textId="74CA639F" w:rsidR="00CE0933" w:rsidRPr="00D962BB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zestaw</w:t>
            </w:r>
          </w:p>
          <w:p w14:paraId="79363276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2F3AC836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7D1F9675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3FDBF459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7439DF42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6B36DA84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3269D764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2178DE4A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34F470E2" w14:textId="04C96C49" w:rsidR="00CE0933" w:rsidRPr="00D962BB" w:rsidRDefault="00CE0933" w:rsidP="00CE0933">
            <w:pPr>
              <w:jc w:val="center"/>
              <w:rPr>
                <w:sz w:val="22"/>
                <w:szCs w:val="22"/>
              </w:rPr>
            </w:pPr>
          </w:p>
          <w:p w14:paraId="209B6A31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05459659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9A57ED1" w14:textId="091C6CF6" w:rsidR="00CE0933" w:rsidRPr="00D962BB" w:rsidRDefault="00CE0933" w:rsidP="006D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962BB">
              <w:rPr>
                <w:sz w:val="22"/>
                <w:szCs w:val="22"/>
              </w:rPr>
              <w:t>1</w:t>
            </w:r>
          </w:p>
          <w:p w14:paraId="3CFEF164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1B7F5E86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005A0251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1817836B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591956DE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3C26774B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2ABB52D6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6F65A65E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29AC610E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55142822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  <w:p w14:paraId="01547639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14:paraId="20482254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A59BE25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FE05750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C826D4B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2A7B48B" w14:textId="77777777" w:rsidR="00CE0933" w:rsidRPr="00D962BB" w:rsidRDefault="00CE0933" w:rsidP="006D65E6">
            <w:pPr>
              <w:rPr>
                <w:sz w:val="22"/>
                <w:szCs w:val="22"/>
              </w:rPr>
            </w:pPr>
          </w:p>
        </w:tc>
      </w:tr>
    </w:tbl>
    <w:p w14:paraId="19E1A632" w14:textId="4451ABA1" w:rsidR="00BA472E" w:rsidRDefault="00BA472E"/>
    <w:p w14:paraId="0C321955" w14:textId="657B802A" w:rsidR="00967B08" w:rsidRDefault="00967B08" w:rsidP="00967B08">
      <w:pPr>
        <w:jc w:val="right"/>
      </w:pPr>
      <w:r>
        <w:t>…………………………………………………………………</w:t>
      </w:r>
    </w:p>
    <w:p w14:paraId="4DF0AEE9" w14:textId="0022B91D" w:rsidR="00967B08" w:rsidRDefault="00967B08" w:rsidP="00967B08">
      <w:pPr>
        <w:jc w:val="right"/>
      </w:pPr>
      <w:r>
        <w:t>(Podpis Wykonawcy/Pełnomocnika)</w:t>
      </w:r>
    </w:p>
    <w:sectPr w:rsidR="00967B08" w:rsidSect="00CE0933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755CF0"/>
    <w:rsid w:val="00967B08"/>
    <w:rsid w:val="00BA472E"/>
    <w:rsid w:val="00C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102"/>
  <w15:chartTrackingRefBased/>
  <w15:docId w15:val="{FD20D3FE-ADF9-42A2-A795-7EE69FD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2024-05-22T07:21:00Z</dcterms:created>
  <dcterms:modified xsi:type="dcterms:W3CDTF">2024-05-22T07:33:00Z</dcterms:modified>
</cp:coreProperties>
</file>