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7F484ECA" w:rsidR="00087AD9" w:rsidRPr="003F123E" w:rsidRDefault="001A7F2E" w:rsidP="0063756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0D2992" w:rsidRPr="000D2992">
        <w:rPr>
          <w:rFonts w:ascii="Verdana" w:eastAsia="Verdana" w:hAnsi="Verdana" w:cs="Times New Roman"/>
          <w:b/>
          <w:color w:val="000000"/>
          <w:szCs w:val="20"/>
        </w:rPr>
        <w:t>Dostawa materiałów zużywalnych z podziałem na 33 części – na podstawie umowy ramowej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0D2992">
        <w:rPr>
          <w:rFonts w:ascii="Verdana" w:eastAsia="Verdana" w:hAnsi="Verdana" w:cs="Times New Roman"/>
          <w:b/>
          <w:color w:val="000000"/>
          <w:szCs w:val="20"/>
        </w:rPr>
        <w:t>30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F123E"/>
    <w:rsid w:val="00406B14"/>
    <w:rsid w:val="004B1A23"/>
    <w:rsid w:val="005D621B"/>
    <w:rsid w:val="005E3381"/>
    <w:rsid w:val="00637566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6</cp:revision>
  <dcterms:created xsi:type="dcterms:W3CDTF">2021-02-03T12:18:00Z</dcterms:created>
  <dcterms:modified xsi:type="dcterms:W3CDTF">2021-08-13T09:31:00Z</dcterms:modified>
</cp:coreProperties>
</file>