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D11" w:rsidRPr="00536D11" w:rsidRDefault="00536D11" w:rsidP="00536D11">
      <w:pPr>
        <w:spacing w:after="0" w:line="276" w:lineRule="auto"/>
        <w:jc w:val="left"/>
        <w:rPr>
          <w:color w:val="auto"/>
          <w:szCs w:val="24"/>
        </w:rPr>
      </w:pPr>
      <w:r w:rsidRPr="00536D11">
        <w:rPr>
          <w:color w:val="auto"/>
          <w:szCs w:val="24"/>
        </w:rPr>
        <w:t>Załącznik nr 9 do SWZ</w:t>
      </w:r>
    </w:p>
    <w:p w:rsidR="00536D11" w:rsidRPr="00536D11" w:rsidRDefault="00536D11" w:rsidP="00536D11">
      <w:pPr>
        <w:spacing w:after="117" w:line="276" w:lineRule="auto"/>
        <w:ind w:left="293" w:firstLine="0"/>
        <w:jc w:val="left"/>
        <w:rPr>
          <w:b/>
          <w:bCs/>
          <w:color w:val="auto"/>
          <w:szCs w:val="24"/>
        </w:rPr>
      </w:pPr>
      <w:bookmarkStart w:id="0" w:name="_Hlk174010465"/>
      <w:r w:rsidRPr="00536D11">
        <w:rPr>
          <w:b/>
          <w:bCs/>
          <w:color w:val="auto"/>
          <w:szCs w:val="24"/>
        </w:rPr>
        <w:t xml:space="preserve">Kino Muza 3.0 - </w:t>
      </w:r>
      <w:proofErr w:type="gramStart"/>
      <w:r w:rsidRPr="00536D11">
        <w:rPr>
          <w:rFonts w:eastAsia="Times New Roman"/>
          <w:b/>
          <w:bCs/>
          <w:color w:val="auto"/>
          <w:szCs w:val="24"/>
        </w:rPr>
        <w:t>zakup</w:t>
      </w:r>
      <w:proofErr w:type="gramEnd"/>
      <w:r w:rsidRPr="00536D11">
        <w:rPr>
          <w:rFonts w:eastAsia="Times New Roman"/>
          <w:b/>
          <w:bCs/>
          <w:color w:val="auto"/>
          <w:szCs w:val="24"/>
        </w:rPr>
        <w:t xml:space="preserve"> projektora cyfrowego wraz </w:t>
      </w:r>
      <w:r w:rsidRPr="00536D11">
        <w:rPr>
          <w:rFonts w:eastAsia="Times New Roman"/>
          <w:b/>
          <w:bCs/>
          <w:color w:val="auto"/>
          <w:szCs w:val="24"/>
        </w:rPr>
        <w:br/>
        <w:t>z serwerem i obiektywem dla Kina „Muza” we Włoszczowie</w:t>
      </w:r>
      <w:bookmarkEnd w:id="0"/>
    </w:p>
    <w:tbl>
      <w:tblPr>
        <w:tblW w:w="1559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4248"/>
        <w:gridCol w:w="997"/>
        <w:gridCol w:w="1838"/>
        <w:gridCol w:w="1705"/>
        <w:gridCol w:w="1276"/>
        <w:gridCol w:w="1418"/>
        <w:gridCol w:w="1559"/>
      </w:tblGrid>
      <w:tr w:rsidR="00536D11" w:rsidRPr="00536D11" w:rsidTr="00536D1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Nagwektabeli"/>
              <w:widowControl w:val="0"/>
              <w:spacing w:line="276" w:lineRule="auto"/>
              <w:jc w:val="left"/>
              <w:rPr>
                <w:rFonts w:ascii="Arial" w:hAnsi="Arial" w:cs="Arial"/>
                <w:bCs w:val="0"/>
                <w14:ligatures w14:val="standardContextual"/>
              </w:rPr>
            </w:pPr>
            <w:proofErr w:type="spellStart"/>
            <w:r w:rsidRPr="00536D11">
              <w:rPr>
                <w:rFonts w:ascii="Arial" w:hAnsi="Arial" w:cs="Arial"/>
                <w:bCs w:val="0"/>
                <w14:ligatures w14:val="standardContextual"/>
              </w:rPr>
              <w:t>Lp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Nagwektabeli"/>
              <w:widowControl w:val="0"/>
              <w:spacing w:line="276" w:lineRule="auto"/>
              <w:jc w:val="left"/>
              <w:rPr>
                <w:rFonts w:ascii="Arial" w:hAnsi="Arial" w:cs="Arial"/>
                <w:bCs w:val="0"/>
                <w14:ligatures w14:val="standardContextual"/>
              </w:rPr>
            </w:pPr>
            <w:r w:rsidRPr="00536D11">
              <w:rPr>
                <w:rFonts w:ascii="Arial" w:hAnsi="Arial" w:cs="Arial"/>
                <w:bCs w:val="0"/>
                <w14:ligatures w14:val="standardContextual"/>
              </w:rPr>
              <w:t>Przedmiot zamówienia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Nagwektabeli"/>
              <w:widowControl w:val="0"/>
              <w:spacing w:line="276" w:lineRule="auto"/>
              <w:jc w:val="left"/>
              <w:rPr>
                <w:rFonts w:ascii="Arial" w:hAnsi="Arial" w:cs="Arial"/>
                <w:bCs w:val="0"/>
                <w14:ligatures w14:val="standardContextual"/>
              </w:rPr>
            </w:pPr>
            <w:r w:rsidRPr="00536D11">
              <w:rPr>
                <w:rFonts w:ascii="Arial" w:hAnsi="Arial" w:cs="Arial"/>
                <w:bCs w:val="0"/>
                <w14:ligatures w14:val="standardContextual"/>
              </w:rPr>
              <w:t>Opis Parametrów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Nagwektabeli"/>
              <w:widowControl w:val="0"/>
              <w:spacing w:line="276" w:lineRule="auto"/>
              <w:jc w:val="left"/>
              <w:rPr>
                <w:rFonts w:ascii="Arial" w:hAnsi="Arial" w:cs="Arial"/>
                <w:bCs w:val="0"/>
                <w14:ligatures w14:val="standardContextual"/>
              </w:rPr>
            </w:pPr>
            <w:r w:rsidRPr="00536D11">
              <w:rPr>
                <w:rFonts w:ascii="Arial" w:hAnsi="Arial" w:cs="Arial"/>
                <w:bCs w:val="0"/>
                <w14:ligatures w14:val="standardContextual"/>
              </w:rPr>
              <w:t>Ilość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Nagwektabeli"/>
              <w:widowControl w:val="0"/>
              <w:spacing w:line="276" w:lineRule="auto"/>
              <w:jc w:val="left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Urządzenie proponowane przez wykonawcę *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Nagwektabeli"/>
              <w:widowControl w:val="0"/>
              <w:spacing w:line="276" w:lineRule="auto"/>
              <w:jc w:val="left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Spełnia wymienione parametry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Nagwektabeli"/>
              <w:widowControl w:val="0"/>
              <w:spacing w:line="276" w:lineRule="auto"/>
              <w:jc w:val="left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Cena jedn. netto (zł)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Nagwektabeli"/>
              <w:widowControl w:val="0"/>
              <w:spacing w:line="276" w:lineRule="auto"/>
              <w:ind w:left="66"/>
              <w:jc w:val="left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Cena jedn. brutto (zł)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Nagwektabeli"/>
              <w:widowControl w:val="0"/>
              <w:spacing w:line="276" w:lineRule="auto"/>
              <w:jc w:val="left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Wartość brutto (zł)</w:t>
            </w:r>
          </w:p>
        </w:tc>
      </w:tr>
      <w:tr w:rsidR="00536D11" w:rsidRPr="00536D11" w:rsidTr="00536D11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1.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Projektor cyfrowy DCI - laserowy</w:t>
            </w:r>
            <w:r w:rsidRPr="00536D11">
              <w:rPr>
                <w:rFonts w:ascii="Arial" w:hAnsi="Arial" w:cs="Arial"/>
                <w14:ligatures w14:val="standardContextual"/>
              </w:rPr>
              <w:br/>
            </w:r>
          </w:p>
        </w:tc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pełna zgodność ze standardem kinowym DCI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moc laserowego źródła światła odpowiednia do zapewnienia luminacji ekranu o rozmiarze 8m x 5m (</w:t>
            </w:r>
            <w:proofErr w:type="spellStart"/>
            <w:r w:rsidRPr="00536D11">
              <w:rPr>
                <w:rFonts w:ascii="Arial" w:hAnsi="Arial" w:cs="Arial"/>
                <w14:ligatures w14:val="standardContextual"/>
              </w:rPr>
              <w:t>gain</w:t>
            </w:r>
            <w:proofErr w:type="spellEnd"/>
            <w:r w:rsidRPr="00536D11">
              <w:rPr>
                <w:rFonts w:ascii="Arial" w:hAnsi="Arial" w:cs="Arial"/>
                <w14:ligatures w14:val="standardContextual"/>
              </w:rPr>
              <w:t xml:space="preserve"> 1.0) do poziomu minimum 14fL przy projekcji 2D przy wykorzystaniu nie więcej niż 70% mocy początkowej oraz nie mniej niż 30% mocy początkowej laserowego źródła światła (sugerowana jasność w </w:t>
            </w:r>
            <w:proofErr w:type="gramStart"/>
            <w:r w:rsidRPr="00536D11">
              <w:rPr>
                <w:rFonts w:ascii="Arial" w:hAnsi="Arial" w:cs="Arial"/>
                <w14:ligatures w14:val="standardContextual"/>
              </w:rPr>
              <w:t>z</w:t>
            </w:r>
            <w:r>
              <w:rPr>
                <w:rFonts w:ascii="Arial" w:hAnsi="Arial" w:cs="Arial"/>
                <w14:ligatures w14:val="standardContextual"/>
              </w:rPr>
              <w:t>akresie  10000 - 23000 lumenów-</w:t>
            </w:r>
            <w:proofErr w:type="gramEnd"/>
            <w:r>
              <w:rPr>
                <w:rFonts w:ascii="Arial" w:hAnsi="Arial" w:cs="Arial"/>
                <w14:ligatures w14:val="standardContextual"/>
              </w:rPr>
              <w:t xml:space="preserve"> udokumentowana w karcie katalogowej produktu)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możliwość zamontowania zintegrowanego serwera kina cyfrowego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1 szt.</w:t>
            </w:r>
          </w:p>
        </w:tc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</w:tr>
      <w:tr w:rsidR="00536D11" w:rsidRPr="00536D11" w:rsidTr="00536D11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2.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Obiektyw do projektora</w:t>
            </w:r>
            <w:r w:rsidRPr="00536D11">
              <w:rPr>
                <w:rFonts w:ascii="Arial" w:hAnsi="Arial" w:cs="Arial"/>
                <w14:ligatures w14:val="standardContextual"/>
              </w:rPr>
              <w:br/>
            </w:r>
          </w:p>
        </w:tc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pełna kompatybilność z zaoferowanym modelem projektora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 xml:space="preserve">- zmotoryzowany zoom i </w:t>
            </w:r>
            <w:proofErr w:type="spellStart"/>
            <w:r w:rsidRPr="00536D11">
              <w:rPr>
                <w:rFonts w:ascii="Arial" w:hAnsi="Arial" w:cs="Arial"/>
                <w14:ligatures w14:val="standardContextual"/>
              </w:rPr>
              <w:t>focus</w:t>
            </w:r>
            <w:proofErr w:type="spellEnd"/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odpowiednia ogniskowej dobranej do wielkości ekranu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proofErr w:type="gramStart"/>
            <w:r w:rsidRPr="00536D11">
              <w:rPr>
                <w:rFonts w:ascii="Arial" w:hAnsi="Arial" w:cs="Arial"/>
                <w14:ligatures w14:val="standardContextual"/>
              </w:rPr>
              <w:t>i</w:t>
            </w:r>
            <w:proofErr w:type="gramEnd"/>
            <w:r w:rsidRPr="00536D11">
              <w:rPr>
                <w:rFonts w:ascii="Arial" w:hAnsi="Arial" w:cs="Arial"/>
                <w14:ligatures w14:val="standardContextual"/>
              </w:rPr>
              <w:t xml:space="preserve"> odległości projekcyjnej, umożliwiający ustawienie obrazu dla formatów FLAT i </w:t>
            </w:r>
            <w:r w:rsidRPr="00536D11">
              <w:rPr>
                <w:rFonts w:ascii="Arial" w:hAnsi="Arial" w:cs="Arial"/>
                <w14:ligatures w14:val="standardContextual"/>
              </w:rPr>
              <w:lastRenderedPageBreak/>
              <w:t>SCOPE (rozmiar ekranu: 8m x 5m, odległość projekcyjna: 21m)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lastRenderedPageBreak/>
              <w:t>1 szt.</w:t>
            </w:r>
          </w:p>
        </w:tc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</w:tr>
      <w:tr w:rsidR="00536D11" w:rsidRPr="00536D11" w:rsidTr="00536D11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lastRenderedPageBreak/>
              <w:t xml:space="preserve">3.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 xml:space="preserve">Serwer kina cyfrowego </w:t>
            </w:r>
          </w:p>
        </w:tc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pełna zgodność ze standardem kinowym DCI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 xml:space="preserve">- możliwość zintegrowania z projektorem – montaż </w:t>
            </w:r>
            <w:r w:rsidRPr="00536D11">
              <w:rPr>
                <w:rFonts w:ascii="Arial" w:hAnsi="Arial" w:cs="Arial"/>
                <w14:ligatures w14:val="standardContextual"/>
              </w:rPr>
              <w:br/>
              <w:t>w obudowie projektora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macierz dyskowa co najmniej 3x2TB,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możliwość aktywowania jako opcja po wykupieniu dodatkowej licencji wbudowanego w serwer procesora dźwięku kinowego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1 szt.</w:t>
            </w:r>
          </w:p>
        </w:tc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</w:tr>
      <w:tr w:rsidR="00536D11" w:rsidRPr="00536D11" w:rsidTr="00536D11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 xml:space="preserve">4.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 xml:space="preserve">Podest pod projektor kinowy </w:t>
            </w:r>
          </w:p>
        </w:tc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platforma o odpowiedniej nośności uwzględniającej ciężar projektora, o wysokości dopasowanej do planowanego miejsca montażu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 xml:space="preserve">- zintegrowane mocowania </w:t>
            </w:r>
            <w:proofErr w:type="spellStart"/>
            <w:r w:rsidRPr="00536D11">
              <w:rPr>
                <w:rFonts w:ascii="Arial" w:hAnsi="Arial" w:cs="Arial"/>
                <w14:ligatures w14:val="standardContextual"/>
              </w:rPr>
              <w:t>rack</w:t>
            </w:r>
            <w:proofErr w:type="spellEnd"/>
            <w:r w:rsidRPr="00536D11">
              <w:rPr>
                <w:rFonts w:ascii="Arial" w:hAnsi="Arial" w:cs="Arial"/>
                <w14:ligatures w14:val="standardContextual"/>
              </w:rPr>
              <w:t xml:space="preserve"> 19” </w:t>
            </w:r>
            <w:r w:rsidRPr="00536D11">
              <w:rPr>
                <w:rFonts w:ascii="Arial" w:hAnsi="Arial" w:cs="Arial"/>
                <w14:ligatures w14:val="standardContextual"/>
              </w:rPr>
              <w:br/>
              <w:t>co najmniej 10U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1 szt.</w:t>
            </w:r>
          </w:p>
        </w:tc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</w:tr>
      <w:tr w:rsidR="00536D11" w:rsidRPr="00536D11" w:rsidTr="00536D11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5.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Panel sterujący</w:t>
            </w:r>
          </w:p>
        </w:tc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matryca min 15”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procesor min. dwurdzeniowy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pamięć RAM min 8 GB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dysk SSD min 240 GB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karta sieciowa LAN (złącze RJ45) oraz dodatkowa karta bezprzewodowa Wifi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system operacyjny kompatybilny z oprogramowaniem projektora i serwera</w:t>
            </w:r>
          </w:p>
          <w:p w:rsid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zainstalowane oprogramowanie do sterowania projektorem i serwerem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bookmarkStart w:id="1" w:name="_GoBack"/>
            <w:bookmarkEnd w:id="1"/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1 szt.</w:t>
            </w:r>
          </w:p>
        </w:tc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</w:tr>
      <w:tr w:rsidR="00536D11" w:rsidRPr="00536D11" w:rsidTr="00536D11"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lastRenderedPageBreak/>
              <w:t xml:space="preserve">6.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Dostawa, montaż, konfiguracja, szkolenie z obsługi</w:t>
            </w:r>
          </w:p>
        </w:tc>
        <w:tc>
          <w:tcPr>
            <w:tcW w:w="4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 xml:space="preserve">- sprzęt musi być dostarczony w formie umożliwiającej jego natychmiastowe użytkowanie bez konieczności dokonywania jakichkolwiek dodatkowych zakupów przez Zamawiającego (m.in. </w:t>
            </w:r>
            <w:proofErr w:type="spellStart"/>
            <w:r w:rsidRPr="00536D11">
              <w:rPr>
                <w:rFonts w:ascii="Arial" w:hAnsi="Arial" w:cs="Arial"/>
                <w14:ligatures w14:val="standardContextual"/>
              </w:rPr>
              <w:t>switch</w:t>
            </w:r>
            <w:proofErr w:type="spellEnd"/>
            <w:r w:rsidRPr="00536D11">
              <w:rPr>
                <w:rFonts w:ascii="Arial" w:hAnsi="Arial" w:cs="Arial"/>
                <w14:ligatures w14:val="standardContextual"/>
              </w:rPr>
              <w:t>, listwy i okablowanie zasilające, nowe okablowanie sygnałowe itp.)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wykonawca musi doprowadzić zasilanie do miejsca instalacji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nowy zestaw projekcyjny musi współpracować z procesorem dźwięku kinowego (Dolby CP650), oraz systemem TMS, który jest zainstalowany w kinie. Należy również umożliwić kopiowanie danych z projektora znajdującego się na drugiej sali.</w:t>
            </w:r>
          </w:p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- w ramach instalacji należy wykonać kalibrację jasności projektora dla każdego formatu oraz korekcję barw przy pomocy kolorymetru posiadającego aktualne badania.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14:ligatures w14:val="standardContextual"/>
              </w:rPr>
            </w:pPr>
            <w:r w:rsidRPr="00536D11">
              <w:rPr>
                <w:rFonts w:ascii="Arial" w:hAnsi="Arial" w:cs="Arial"/>
                <w14:ligatures w14:val="standardContextual"/>
              </w:rPr>
              <w:t>1 komp.</w:t>
            </w:r>
          </w:p>
        </w:tc>
        <w:tc>
          <w:tcPr>
            <w:tcW w:w="18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</w:tr>
      <w:tr w:rsidR="00536D11" w:rsidRPr="00536D11" w:rsidTr="00536D11"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b/>
                <w:bCs/>
                <w:color w:val="C9211E"/>
                <w14:ligatures w14:val="standardContextual"/>
              </w:rPr>
            </w:pPr>
            <w:r w:rsidRPr="00536D11">
              <w:rPr>
                <w:rFonts w:ascii="Arial" w:hAnsi="Arial" w:cs="Arial"/>
                <w:b/>
                <w:bCs/>
                <w14:ligatures w14:val="standardContextua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11" w:rsidRPr="00536D11" w:rsidRDefault="00536D11" w:rsidP="00536D11">
            <w:pPr>
              <w:pStyle w:val="Zawartotabeli"/>
              <w:widowControl w:val="0"/>
              <w:spacing w:line="276" w:lineRule="auto"/>
              <w:rPr>
                <w:rFonts w:ascii="Arial" w:hAnsi="Arial" w:cs="Arial"/>
                <w:color w:val="C9211E"/>
                <w14:ligatures w14:val="standardContextual"/>
              </w:rPr>
            </w:pPr>
          </w:p>
        </w:tc>
      </w:tr>
    </w:tbl>
    <w:p w:rsidR="00536D11" w:rsidRPr="00536D11" w:rsidRDefault="00536D11" w:rsidP="00536D11">
      <w:pPr>
        <w:suppressAutoHyphens/>
        <w:spacing w:after="0" w:line="276" w:lineRule="auto"/>
        <w:ind w:left="0" w:firstLine="0"/>
        <w:jc w:val="left"/>
        <w:rPr>
          <w:rFonts w:eastAsia="Times New Roman"/>
          <w:b/>
          <w:color w:val="auto"/>
          <w:szCs w:val="24"/>
          <w:lang w:eastAsia="ar-SA"/>
        </w:rPr>
      </w:pPr>
    </w:p>
    <w:p w:rsidR="00536D11" w:rsidRPr="00536D11" w:rsidRDefault="00536D11" w:rsidP="00536D11">
      <w:pPr>
        <w:suppressAutoHyphens/>
        <w:spacing w:after="0" w:line="276" w:lineRule="auto"/>
        <w:ind w:left="293" w:firstLine="0"/>
        <w:jc w:val="left"/>
        <w:rPr>
          <w:rFonts w:eastAsia="Times New Roman"/>
          <w:b/>
          <w:color w:val="auto"/>
          <w:szCs w:val="24"/>
          <w:lang w:eastAsia="ar-SA"/>
        </w:rPr>
      </w:pPr>
      <w:r w:rsidRPr="00536D11">
        <w:rPr>
          <w:rFonts w:eastAsia="Times New Roman"/>
          <w:b/>
          <w:color w:val="auto"/>
          <w:szCs w:val="24"/>
          <w:lang w:eastAsia="ar-SA"/>
        </w:rPr>
        <w:t>*Należy wypełnić stosując słowa „spełnia” lub „nie spełnia”, zaś w przypadku wyższych wartości niż minimalne - wykazane w tabeli należy wpisać oferowane wartości techniczno-użytko</w:t>
      </w:r>
      <w:r>
        <w:rPr>
          <w:rFonts w:eastAsia="Times New Roman"/>
          <w:b/>
          <w:color w:val="auto"/>
          <w:szCs w:val="24"/>
          <w:lang w:eastAsia="ar-SA"/>
        </w:rPr>
        <w:t xml:space="preserve">we. W przypadku, gdy Wykonawca </w:t>
      </w:r>
      <w:r w:rsidRPr="00536D11">
        <w:rPr>
          <w:rFonts w:eastAsia="Times New Roman"/>
          <w:b/>
          <w:color w:val="auto"/>
          <w:szCs w:val="24"/>
          <w:lang w:eastAsia="ar-SA"/>
        </w:rPr>
        <w:t>w którejkolwiek z pozycji wpisze słowa „nie spełnia” lub zaoferuje niższe wartości oferta zostanie odrzucona, gdyż jej treść nie odpowiada treści SIWZ (art. 89 ust 1 pkt 2 ustawy PZP )</w:t>
      </w:r>
    </w:p>
    <w:p w:rsidR="00536D11" w:rsidRPr="00536D11" w:rsidRDefault="00536D11" w:rsidP="00536D11">
      <w:pPr>
        <w:suppressAutoHyphens/>
        <w:spacing w:after="0" w:line="276" w:lineRule="auto"/>
        <w:ind w:left="0" w:firstLine="0"/>
        <w:jc w:val="left"/>
        <w:rPr>
          <w:rFonts w:eastAsia="Times New Roman"/>
          <w:color w:val="auto"/>
          <w:szCs w:val="24"/>
          <w:lang w:eastAsia="ar-SA"/>
        </w:rPr>
      </w:pPr>
    </w:p>
    <w:p w:rsidR="00536D11" w:rsidRPr="00536D11" w:rsidRDefault="00536D11" w:rsidP="00536D11">
      <w:pPr>
        <w:suppressAutoHyphens/>
        <w:spacing w:after="0" w:line="276" w:lineRule="auto"/>
        <w:jc w:val="left"/>
        <w:rPr>
          <w:rFonts w:eastAsia="Times New Roman"/>
          <w:color w:val="auto"/>
          <w:szCs w:val="24"/>
          <w:lang w:eastAsia="ar-SA"/>
        </w:rPr>
      </w:pPr>
      <w:r w:rsidRPr="00536D11">
        <w:rPr>
          <w:rFonts w:eastAsia="Times New Roman"/>
          <w:color w:val="auto"/>
          <w:szCs w:val="24"/>
          <w:lang w:eastAsia="ar-SA"/>
        </w:rPr>
        <w:t>…………………………………………………..</w:t>
      </w:r>
    </w:p>
    <w:p w:rsidR="00536D11" w:rsidRPr="00536D11" w:rsidRDefault="00536D11" w:rsidP="00536D11">
      <w:pPr>
        <w:suppressAutoHyphens/>
        <w:spacing w:after="0" w:line="276" w:lineRule="auto"/>
        <w:jc w:val="left"/>
        <w:rPr>
          <w:rFonts w:eastAsia="Times New Roman"/>
          <w:color w:val="auto"/>
          <w:szCs w:val="24"/>
          <w:lang w:eastAsia="ar-SA"/>
        </w:rPr>
      </w:pPr>
      <w:r w:rsidRPr="00536D11">
        <w:rPr>
          <w:rFonts w:eastAsia="Times New Roman"/>
          <w:color w:val="auto"/>
          <w:szCs w:val="24"/>
          <w:lang w:eastAsia="ar-SA"/>
        </w:rPr>
        <w:t>Podpis Wykonawcy</w:t>
      </w:r>
    </w:p>
    <w:p w:rsidR="00536D11" w:rsidRDefault="00536D11" w:rsidP="00536D11"/>
    <w:p w:rsidR="00536D11" w:rsidRDefault="00536D11" w:rsidP="00536D11"/>
    <w:p w:rsidR="00A55524" w:rsidRDefault="00A55524"/>
    <w:sectPr w:rsidR="00A55524" w:rsidSect="00536D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11"/>
    <w:rsid w:val="00536D11"/>
    <w:rsid w:val="00A5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02341"/>
  <w15:chartTrackingRefBased/>
  <w15:docId w15:val="{E199CFA5-8F23-49DA-81B9-FC805B9E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6D11"/>
    <w:pPr>
      <w:spacing w:after="26" w:line="247" w:lineRule="auto"/>
      <w:ind w:left="303" w:hanging="10"/>
      <w:jc w:val="both"/>
    </w:pPr>
    <w:rPr>
      <w:rFonts w:ascii="Arial" w:eastAsia="Arial" w:hAnsi="Arial" w:cs="Arial"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536D11"/>
    <w:pPr>
      <w:suppressLineNumbers/>
      <w:suppressAutoHyphens/>
      <w:spacing w:after="0" w:line="240" w:lineRule="auto"/>
      <w:ind w:left="0" w:firstLine="0"/>
      <w:jc w:val="left"/>
    </w:pPr>
    <w:rPr>
      <w:rFonts w:ascii="Liberation Serif" w:eastAsia="NSimSun" w:hAnsi="Liberation Serif" w:cs="Mangal"/>
      <w:color w:val="auto"/>
      <w:szCs w:val="24"/>
      <w:lang w:eastAsia="zh-CN" w:bidi="hi-IN"/>
      <w14:ligatures w14:val="none"/>
    </w:rPr>
  </w:style>
  <w:style w:type="paragraph" w:customStyle="1" w:styleId="Nagwektabeli">
    <w:name w:val="Nagłówek tabeli"/>
    <w:basedOn w:val="Zawartotabeli"/>
    <w:qFormat/>
    <w:rsid w:val="00536D1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467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DK-GABRIELA</dc:creator>
  <cp:keywords/>
  <dc:description/>
  <cp:lastModifiedBy>DK-GABRIELA</cp:lastModifiedBy>
  <cp:revision>2</cp:revision>
  <dcterms:created xsi:type="dcterms:W3CDTF">2024-08-12T07:20:00Z</dcterms:created>
  <dcterms:modified xsi:type="dcterms:W3CDTF">2024-08-12T07:28:00Z</dcterms:modified>
</cp:coreProperties>
</file>