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77DA" w14:textId="01D37B44" w:rsidR="00821261" w:rsidRDefault="002D6EAD" w:rsidP="00D10082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352D24" wp14:editId="355A2AED">
            <wp:simplePos x="0" y="0"/>
            <wp:positionH relativeFrom="column">
              <wp:posOffset>3375025</wp:posOffset>
            </wp:positionH>
            <wp:positionV relativeFrom="paragraph">
              <wp:posOffset>-567690</wp:posOffset>
            </wp:positionV>
            <wp:extent cx="2469600" cy="76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7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 PL KaitiM GB" w:hAnsi="Arial" w:cs="Arial"/>
          <w:noProof/>
          <w:kern w:val="1"/>
          <w:sz w:val="24"/>
          <w:szCs w:val="24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15A4032B" wp14:editId="4126DEB9">
            <wp:simplePos x="0" y="0"/>
            <wp:positionH relativeFrom="column">
              <wp:posOffset>220345</wp:posOffset>
            </wp:positionH>
            <wp:positionV relativeFrom="paragraph">
              <wp:posOffset>-518795</wp:posOffset>
            </wp:positionV>
            <wp:extent cx="1177200" cy="666000"/>
            <wp:effectExtent l="0" t="0" r="444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6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7317C" w14:textId="77777777" w:rsidR="002D6EAD" w:rsidRDefault="002D6EAD" w:rsidP="00BA55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B0ED07" w14:textId="77777777" w:rsidR="002D6EAD" w:rsidRDefault="002D6EAD" w:rsidP="00BA55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15E9EA" w14:textId="60223750" w:rsidR="00BA550F" w:rsidRPr="00BA550F" w:rsidRDefault="00BA550F" w:rsidP="00BA55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50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A248C14" w14:textId="0A6F3E4C" w:rsidR="00BA550F" w:rsidRDefault="00BA550F" w:rsidP="00BA550F">
      <w:pPr>
        <w:widowControl w:val="0"/>
        <w:suppressAutoHyphens/>
        <w:spacing w:after="0" w:line="360" w:lineRule="auto"/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</w:pPr>
      <w:bookmarkStart w:id="0" w:name="_Hlk57200230"/>
      <w:bookmarkStart w:id="1" w:name="_Hlk55471084"/>
      <w:bookmarkStart w:id="2" w:name="_Hlk49893051"/>
      <w:r>
        <w:rPr>
          <w:rFonts w:ascii="Arial" w:eastAsia="AR PL KaitiM GB" w:hAnsi="Arial" w:cs="Arial"/>
          <w:kern w:val="1"/>
          <w:sz w:val="24"/>
          <w:szCs w:val="24"/>
          <w:lang w:eastAsia="zh-CN" w:bidi="hi-IN"/>
        </w:rPr>
        <w:t>na dostawę</w:t>
      </w:r>
      <w:r w:rsidRPr="00BF59FC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</w:t>
      </w:r>
      <w:bookmarkStart w:id="3" w:name="_Hlk151462378"/>
      <w:bookmarkEnd w:id="0"/>
      <w:bookmarkEnd w:id="1"/>
      <w:bookmarkEnd w:id="2"/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zużywaln</w:t>
      </w:r>
      <w:r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ego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sprzęt</w:t>
      </w:r>
      <w:r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u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laboratoryjn</w:t>
      </w:r>
      <w:r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ego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– probówki, końcówki, statywy, płytki, gaziki w okresie ustalonym przez Zamawiającego w ramach realizowanego projektu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„</w:t>
      </w:r>
      <w:proofErr w:type="spellStart"/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Granzym</w:t>
      </w:r>
      <w:proofErr w:type="spellEnd"/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B jako potencjalny cel terapeutyczny </w:t>
      </w:r>
      <w:r w:rsidR="002D6EAD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w immunoterapii</w:t>
      </w:r>
      <w:r w:rsidR="002D6EAD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nowotworów głowy i szyi”.</w:t>
      </w:r>
    </w:p>
    <w:p w14:paraId="17DEBD6A" w14:textId="77777777" w:rsidR="00BA550F" w:rsidRDefault="00BA550F" w:rsidP="00BA550F">
      <w:pPr>
        <w:widowControl w:val="0"/>
        <w:suppressAutoHyphens/>
        <w:spacing w:after="0" w:line="360" w:lineRule="auto"/>
        <w:rPr>
          <w:rFonts w:ascii="Arial" w:eastAsia="AR PL KaitiM GB" w:hAnsi="Arial" w:cs="Arial"/>
          <w:b/>
          <w:bCs/>
          <w:kern w:val="1"/>
          <w:sz w:val="24"/>
          <w:szCs w:val="24"/>
          <w:lang w:eastAsia="zh-CN" w:bidi="hi-IN"/>
        </w:rPr>
      </w:pPr>
    </w:p>
    <w:p w14:paraId="4E269495" w14:textId="15906A4A" w:rsidR="00BA550F" w:rsidRPr="00F80BB2" w:rsidRDefault="00BA550F" w:rsidP="00BA550F">
      <w:pPr>
        <w:widowControl w:val="0"/>
        <w:suppressAutoHyphens/>
        <w:spacing w:after="0" w:line="360" w:lineRule="auto"/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</w:pPr>
      <w:r>
        <w:rPr>
          <w:rFonts w:ascii="Arial" w:eastAsia="AR PL KaitiM GB" w:hAnsi="Arial" w:cs="Arial"/>
          <w:b/>
          <w:bCs/>
          <w:kern w:val="1"/>
          <w:sz w:val="24"/>
          <w:szCs w:val="24"/>
          <w:lang w:eastAsia="zh-CN" w:bidi="hi-IN"/>
        </w:rPr>
        <w:t>Dane Wykonawcy: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526"/>
      </w:tblGrid>
      <w:tr w:rsidR="00BA550F" w:rsidRPr="00BA550F" w14:paraId="141E08AD" w14:textId="77777777" w:rsidTr="00A60216">
        <w:tc>
          <w:tcPr>
            <w:tcW w:w="3762" w:type="dxa"/>
            <w:shd w:val="clear" w:color="auto" w:fill="D9D9D9"/>
            <w:vAlign w:val="center"/>
          </w:tcPr>
          <w:bookmarkEnd w:id="3"/>
          <w:p w14:paraId="75F9018E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Pełna nazwa Wykonawcy</w:t>
            </w:r>
          </w:p>
        </w:tc>
        <w:tc>
          <w:tcPr>
            <w:tcW w:w="5526" w:type="dxa"/>
          </w:tcPr>
          <w:p w14:paraId="6CBDAAC8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4DA0C9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3AB1669B" w14:textId="77777777" w:rsidTr="00A60216">
        <w:tc>
          <w:tcPr>
            <w:tcW w:w="3762" w:type="dxa"/>
            <w:shd w:val="clear" w:color="auto" w:fill="D9D9D9"/>
            <w:vAlign w:val="center"/>
          </w:tcPr>
          <w:p w14:paraId="5F3F9D87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526" w:type="dxa"/>
          </w:tcPr>
          <w:p w14:paraId="268B253A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1FEC19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1EDA3411" w14:textId="77777777" w:rsidTr="00A60216">
        <w:tc>
          <w:tcPr>
            <w:tcW w:w="3762" w:type="dxa"/>
            <w:shd w:val="clear" w:color="auto" w:fill="D9D9D9"/>
            <w:vAlign w:val="center"/>
          </w:tcPr>
          <w:p w14:paraId="42BA14E3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6" w:type="dxa"/>
          </w:tcPr>
          <w:p w14:paraId="77C0145D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21E137BF" w14:textId="77777777" w:rsidTr="00A60216">
        <w:tc>
          <w:tcPr>
            <w:tcW w:w="3762" w:type="dxa"/>
            <w:shd w:val="clear" w:color="auto" w:fill="D9D9D9"/>
            <w:vAlign w:val="center"/>
          </w:tcPr>
          <w:p w14:paraId="340C2274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526" w:type="dxa"/>
          </w:tcPr>
          <w:p w14:paraId="50929169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12E56C1C" w14:textId="77777777" w:rsidTr="00A60216">
        <w:tc>
          <w:tcPr>
            <w:tcW w:w="3762" w:type="dxa"/>
            <w:shd w:val="clear" w:color="auto" w:fill="D9D9D9"/>
            <w:vAlign w:val="center"/>
          </w:tcPr>
          <w:p w14:paraId="5824629E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5526" w:type="dxa"/>
          </w:tcPr>
          <w:p w14:paraId="06E82523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3F74D456" w14:textId="77777777" w:rsidTr="00A60216">
        <w:trPr>
          <w:trHeight w:val="409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06713116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osoby do kontaktu </w:t>
            </w:r>
          </w:p>
        </w:tc>
      </w:tr>
      <w:tr w:rsidR="00BA550F" w:rsidRPr="00BA550F" w14:paraId="5467DF3C" w14:textId="77777777" w:rsidTr="00A60216">
        <w:tc>
          <w:tcPr>
            <w:tcW w:w="3762" w:type="dxa"/>
            <w:shd w:val="clear" w:color="auto" w:fill="D9D9D9"/>
            <w:vAlign w:val="center"/>
          </w:tcPr>
          <w:p w14:paraId="0002BBB1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526" w:type="dxa"/>
          </w:tcPr>
          <w:p w14:paraId="03E71D9E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21BF1244" w14:textId="77777777" w:rsidTr="00A60216">
        <w:tc>
          <w:tcPr>
            <w:tcW w:w="3762" w:type="dxa"/>
            <w:shd w:val="clear" w:color="auto" w:fill="D9D9D9"/>
            <w:vAlign w:val="center"/>
          </w:tcPr>
          <w:p w14:paraId="2FEBE83F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6" w:type="dxa"/>
          </w:tcPr>
          <w:p w14:paraId="08398564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09C82EDF" w14:textId="77777777" w:rsidTr="00A60216">
        <w:tc>
          <w:tcPr>
            <w:tcW w:w="3762" w:type="dxa"/>
            <w:shd w:val="clear" w:color="auto" w:fill="D9D9D9"/>
            <w:vAlign w:val="center"/>
          </w:tcPr>
          <w:p w14:paraId="3A2C7260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526" w:type="dxa"/>
          </w:tcPr>
          <w:p w14:paraId="562CA524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8B5A716" w14:textId="77777777" w:rsidR="00BA550F" w:rsidRDefault="00BA550F" w:rsidP="00BA550F">
      <w:pPr>
        <w:jc w:val="center"/>
        <w:rPr>
          <w:rFonts w:ascii="Arial" w:hAnsi="Arial" w:cs="Arial"/>
          <w:sz w:val="24"/>
          <w:szCs w:val="24"/>
        </w:rPr>
      </w:pPr>
    </w:p>
    <w:p w14:paraId="2A4D26F6" w14:textId="77777777" w:rsidR="004060C6" w:rsidRDefault="004060C6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F4FFD" w14:textId="77777777" w:rsidR="004060C6" w:rsidRDefault="004060C6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EF0051" w14:textId="6CDC74F2" w:rsidR="00BA550F" w:rsidRDefault="00BA550F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55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ferujemy dostawę sprzętu w zakresie wymienionym w OPZ za:</w:t>
      </w:r>
    </w:p>
    <w:p w14:paraId="6B7C8420" w14:textId="77777777" w:rsidR="002D6EAD" w:rsidRDefault="002D6EAD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4" w:name="_GoBack"/>
      <w:bookmarkEnd w:id="4"/>
    </w:p>
    <w:p w14:paraId="4A68B52F" w14:textId="77777777" w:rsidR="002D6EAD" w:rsidRPr="00312AE7" w:rsidRDefault="002D6EAD" w:rsidP="00312A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427"/>
        <w:gridCol w:w="1699"/>
        <w:gridCol w:w="2916"/>
      </w:tblGrid>
      <w:tr w:rsidR="00BA550F" w:rsidRPr="00BA550F" w14:paraId="45768DB4" w14:textId="77777777" w:rsidTr="00BA550F">
        <w:trPr>
          <w:trHeight w:hRule="exact" w:val="67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10EAF" w14:textId="1040281C" w:rsidR="00BA550F" w:rsidRPr="00BA550F" w:rsidRDefault="00BA550F" w:rsidP="00BA550F">
            <w:pPr>
              <w:spacing w:after="0" w:line="360" w:lineRule="auto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 w:rsidRPr="00BA550F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C</w:t>
            </w: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zęść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E420C" w14:textId="37895742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Nazwa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4DA99" w14:textId="4270BDA0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 w:rsidRPr="00BA550F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C</w:t>
            </w: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ena</w:t>
            </w:r>
            <w:r w:rsidRPr="00BA550F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netto części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2EBA2" w14:textId="44D15A44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Wartość brutto części</w:t>
            </w:r>
          </w:p>
        </w:tc>
      </w:tr>
      <w:tr w:rsidR="00BA550F" w:rsidRPr="00BA550F" w14:paraId="500CB195" w14:textId="77777777" w:rsidTr="00E5750F">
        <w:trPr>
          <w:trHeight w:hRule="exact" w:val="110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02C9" w14:textId="77777777" w:rsidR="00BA550F" w:rsidRPr="002D6EAD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1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6D0CE" w14:textId="1A2D2152" w:rsidR="00BA550F" w:rsidRPr="002D6EAD" w:rsidRDefault="00BA550F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Probówki morfologiczne z EDTA o pojemności 10 ml (100 sztuk)</w:t>
            </w:r>
          </w:p>
          <w:p w14:paraId="23A2D567" w14:textId="704CA202" w:rsidR="00BA550F" w:rsidRPr="00BA550F" w:rsidRDefault="00BA550F" w:rsidP="00BA550F">
            <w:p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97FA" w14:textId="77777777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1901734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FD7075F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742AD6B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403968C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8B346EF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2301" w14:textId="77777777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312AE7" w:rsidRPr="00BA550F" w14:paraId="3F34BC54" w14:textId="77777777" w:rsidTr="00E5750F">
        <w:trPr>
          <w:trHeight w:hRule="exact" w:val="100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6D598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E3DD" w14:textId="5026CB2D" w:rsidR="00312AE7" w:rsidRPr="002D6EAD" w:rsidRDefault="00312AE7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Probówki typu </w:t>
            </w:r>
            <w:proofErr w:type="spellStart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eppendorf</w:t>
            </w:r>
            <w:proofErr w:type="spellEnd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o pojemności 1,5 ml (1600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5F3C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8BB6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312AE7" w:rsidRPr="00BA550F" w14:paraId="1BE47269" w14:textId="77777777" w:rsidTr="00E5750F">
        <w:trPr>
          <w:trHeight w:hRule="exact" w:val="7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83EC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E282" w14:textId="6A77ADD2" w:rsidR="00312AE7" w:rsidRPr="002D6EAD" w:rsidRDefault="00312AE7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Probówki do PCR (2000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4CAD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4C36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4B130D" w:rsidRPr="00BA550F" w14:paraId="4AA1AEF5" w14:textId="77777777" w:rsidTr="002D6EAD">
        <w:trPr>
          <w:trHeight w:hRule="exact" w:val="11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ECFD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1D94" w14:textId="77777777" w:rsidR="004B130D" w:rsidRDefault="004B130D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Probówki </w:t>
            </w:r>
            <w:proofErr w:type="spellStart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okrągłodenne</w:t>
            </w:r>
            <w:proofErr w:type="spellEnd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do </w:t>
            </w:r>
            <w:proofErr w:type="spellStart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cytometrii</w:t>
            </w:r>
            <w:proofErr w:type="spellEnd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przepływowej (1000 sztuk)</w:t>
            </w:r>
          </w:p>
          <w:p w14:paraId="3CA36FB7" w14:textId="7EEFEAAE" w:rsidR="002D6EAD" w:rsidRPr="002D6EAD" w:rsidRDefault="002D6EAD" w:rsidP="002D6EAD">
            <w:pPr>
              <w:pStyle w:val="Akapitzlist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9618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1607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4B130D" w:rsidRPr="00BA550F" w14:paraId="2E0E4F85" w14:textId="77777777" w:rsidTr="002D6EAD">
        <w:trPr>
          <w:trHeight w:hRule="exact" w:val="12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AE5F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7C88" w14:textId="4BF8DF55" w:rsidR="004B130D" w:rsidRPr="002D6EAD" w:rsidRDefault="004B130D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Niejałowe kompresy z gazy 5cm x 5cm (100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375D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BA8FB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2D6EAD" w:rsidRPr="00BA550F" w14:paraId="0FEE38D2" w14:textId="77777777" w:rsidTr="00C34B49">
        <w:trPr>
          <w:trHeight w:hRule="exact" w:val="12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874C" w14:textId="77777777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51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C6BB" w14:textId="18743354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14:ligatures w14:val="standardContextual"/>
              </w:rPr>
              <w:t>RAZEM BRUTTO CZ. 1: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A769" w14:textId="71201501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14:ligatures w14:val="standardContextual"/>
              </w:rPr>
              <w:t>………………..</w:t>
            </w:r>
          </w:p>
        </w:tc>
      </w:tr>
      <w:tr w:rsidR="00BA550F" w:rsidRPr="00BA550F" w14:paraId="4E0DF068" w14:textId="77777777" w:rsidTr="00E5750F">
        <w:trPr>
          <w:trHeight w:val="103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058144" w14:textId="77777777" w:rsidR="00BA550F" w:rsidRPr="00BA550F" w:rsidRDefault="00BA550F" w:rsidP="00BA550F">
            <w:pPr>
              <w:spacing w:after="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80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C2E6" w14:textId="7732499A" w:rsidR="00BA550F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BA550F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SŁOWNIE WARTOŚĆ BRUTTO CZĘŚCI </w:t>
            </w:r>
            <w:r w:rsidR="00BA550F" w:rsidRPr="00BA550F">
              <w:rPr>
                <w:rFonts w:ascii="Arial" w:eastAsia="Calibri" w:hAnsi="Arial" w:cs="Arial"/>
                <w:kern w:val="2"/>
                <w14:ligatures w14:val="standardContextual"/>
              </w:rPr>
              <w:t>1:…………………….</w:t>
            </w:r>
          </w:p>
        </w:tc>
      </w:tr>
      <w:tr w:rsidR="00BA550F" w:rsidRPr="00BA550F" w14:paraId="611B60A8" w14:textId="77777777" w:rsidTr="002D6EAD">
        <w:trPr>
          <w:trHeight w:hRule="exact" w:val="1572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CB38E" w14:textId="77777777" w:rsidR="00BA550F" w:rsidRPr="0097154C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 w:rsidRPr="0097154C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2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0608" w14:textId="183381AB" w:rsidR="00BA550F" w:rsidRPr="002D6EAD" w:rsidRDefault="004B130D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Końcówki do pipet automatycznych bez filtra o pojemności 0,1-10 </w:t>
            </w: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µl (24960 sztuk/ 96 w stelażu)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4AA1" w14:textId="77777777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E7A4" w14:textId="77777777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4B130D" w:rsidRPr="00BA550F" w14:paraId="61808957" w14:textId="77777777" w:rsidTr="002D6EAD">
        <w:trPr>
          <w:trHeight w:hRule="exact" w:val="147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B86E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166C" w14:textId="73D14A58" w:rsidR="004B130D" w:rsidRPr="002D6EAD" w:rsidRDefault="004B130D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Końcówki do pipet automatycznych bez filtra o pojemności 0,5-10 ml (200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60B7E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CDF2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4B130D" w:rsidRPr="00BA550F" w14:paraId="62F8DADF" w14:textId="77777777" w:rsidTr="002D6EAD">
        <w:trPr>
          <w:trHeight w:hRule="exact" w:val="156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478E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5B7" w14:textId="0BF358A0" w:rsidR="004B130D" w:rsidRPr="002D6EAD" w:rsidRDefault="002C6596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Końcówki do pipet automatycznych bez filtra o pojemności 2-200 </w:t>
            </w: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µl (29760 sztuk/ 96 w stelażu)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533C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F1E7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2C6596" w:rsidRPr="00BA550F" w14:paraId="5F8B7EA7" w14:textId="77777777" w:rsidTr="002D6EAD">
        <w:trPr>
          <w:trHeight w:hRule="exact" w:val="154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FE3F" w14:textId="77777777" w:rsidR="002C6596" w:rsidRPr="00BA550F" w:rsidRDefault="002C6596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7A482" w14:textId="01E3B74D" w:rsidR="002C6596" w:rsidRPr="002D6EAD" w:rsidRDefault="002C6596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Końcówki do pipet automatycznych bez filtra o pojemności 50-1000 </w:t>
            </w: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µl (29769 sztuk/ 96 w stelażu)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DF2D" w14:textId="77777777" w:rsidR="002C6596" w:rsidRPr="00BA550F" w:rsidRDefault="002C6596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493EB" w14:textId="77777777" w:rsidR="002C6596" w:rsidRPr="00BA550F" w:rsidRDefault="002C6596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2C6596" w:rsidRPr="00BA550F" w14:paraId="488262B1" w14:textId="77777777" w:rsidTr="00E5750F">
        <w:trPr>
          <w:trHeight w:hRule="exact" w:val="98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E80E" w14:textId="77777777" w:rsidR="002C6596" w:rsidRPr="00BA550F" w:rsidRDefault="002C6596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F3DFF" w14:textId="09040601" w:rsidR="002C6596" w:rsidRPr="002D6EAD" w:rsidRDefault="002C6596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Płytki do RT-</w:t>
            </w:r>
            <w:proofErr w:type="spellStart"/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qPCR</w:t>
            </w:r>
            <w:proofErr w:type="spellEnd"/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, 96-dołkowe 0,1 ml</w:t>
            </w:r>
            <w:r w:rsidR="00E5750F"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47234E"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50 </w:t>
            </w:r>
            <w:r w:rsidR="00E5750F"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A4277" w14:textId="77777777" w:rsidR="002C6596" w:rsidRPr="00BA550F" w:rsidRDefault="002C6596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BF79" w14:textId="77777777" w:rsidR="002C6596" w:rsidRPr="00BA550F" w:rsidRDefault="002C6596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E5750F" w:rsidRPr="00BA550F" w14:paraId="28DDDF30" w14:textId="77777777" w:rsidTr="00E5750F">
        <w:trPr>
          <w:trHeight w:hRule="exact" w:val="119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D777" w14:textId="77777777" w:rsidR="00E5750F" w:rsidRPr="00BA550F" w:rsidRDefault="00E57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D071" w14:textId="03E895F0" w:rsidR="00E5750F" w:rsidRPr="002D6EAD" w:rsidRDefault="00E5750F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Statywy dwustronne na probówki o poj. 0,5/1,5/2,0 ml – 96-miejscowe (10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3B37" w14:textId="77777777" w:rsidR="00E5750F" w:rsidRPr="00BA550F" w:rsidRDefault="00E57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A7B7" w14:textId="77777777" w:rsidR="00E5750F" w:rsidRPr="00BA550F" w:rsidRDefault="00E57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E5750F" w:rsidRPr="00BA550F" w14:paraId="2D642C9F" w14:textId="77777777" w:rsidTr="00E5750F">
        <w:trPr>
          <w:trHeight w:hRule="exact" w:val="8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15DF" w14:textId="77777777" w:rsidR="00E5750F" w:rsidRPr="00BA550F" w:rsidRDefault="00E57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30A" w14:textId="48FBBAAF" w:rsidR="00E5750F" w:rsidRPr="002D6EAD" w:rsidRDefault="00E5750F" w:rsidP="002D6EA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2D6EAD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Pudełka 96-miejscowe na probówki PCR (4 sztuki)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971A" w14:textId="77777777" w:rsidR="00E5750F" w:rsidRPr="00BA550F" w:rsidRDefault="00E57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C3CB" w14:textId="77777777" w:rsidR="00E5750F" w:rsidRPr="00BA550F" w:rsidRDefault="00E57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2D6EAD" w:rsidRPr="00BA550F" w14:paraId="199A7865" w14:textId="77777777" w:rsidTr="002D6EAD">
        <w:trPr>
          <w:trHeight w:hRule="exact" w:val="115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886A" w14:textId="77777777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51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CF75" w14:textId="77777777" w:rsidR="002D6EAD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2D885C4" w14:textId="0565F605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14:ligatures w14:val="standardContextual"/>
              </w:rPr>
              <w:t>RAZEM BRUTTO CZ. 2: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65B4" w14:textId="14D9DFA8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14:ligatures w14:val="standardContextual"/>
              </w:rPr>
              <w:t>…………………..</w:t>
            </w:r>
          </w:p>
        </w:tc>
      </w:tr>
      <w:tr w:rsidR="00BA550F" w:rsidRPr="00BA550F" w14:paraId="67C50411" w14:textId="77777777" w:rsidTr="00BA550F">
        <w:trPr>
          <w:trHeight w:val="16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580450" w14:textId="77777777" w:rsidR="00BA550F" w:rsidRPr="00BA550F" w:rsidRDefault="00BA550F" w:rsidP="00BA550F">
            <w:pPr>
              <w:spacing w:after="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80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A77DC" w14:textId="79BA7711" w:rsidR="00BA550F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BA550F">
              <w:rPr>
                <w:rFonts w:ascii="Arial" w:eastAsia="Calibri" w:hAnsi="Arial" w:cs="Arial"/>
                <w:kern w:val="2"/>
                <w14:ligatures w14:val="standardContextual"/>
              </w:rPr>
              <w:t>SŁOWNIE WARTOŚĆ BRUTTO CZĘŚCI 2</w:t>
            </w:r>
            <w:r w:rsidR="00BA550F" w:rsidRPr="00BA550F">
              <w:rPr>
                <w:rFonts w:ascii="Arial" w:eastAsia="Calibri" w:hAnsi="Arial" w:cs="Arial"/>
                <w:kern w:val="2"/>
                <w14:ligatures w14:val="standardContextual"/>
              </w:rPr>
              <w:t>:…………………….</w:t>
            </w:r>
          </w:p>
        </w:tc>
      </w:tr>
    </w:tbl>
    <w:p w14:paraId="695BE215" w14:textId="77777777" w:rsidR="00BA550F" w:rsidRDefault="00BA550F" w:rsidP="00BA550F">
      <w:pPr>
        <w:rPr>
          <w:rFonts w:ascii="Arial" w:hAnsi="Arial" w:cs="Arial"/>
          <w:sz w:val="24"/>
          <w:szCs w:val="24"/>
        </w:rPr>
      </w:pPr>
    </w:p>
    <w:p w14:paraId="66141612" w14:textId="77777777" w:rsidR="00E5750F" w:rsidRDefault="00E5750F" w:rsidP="00E575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5BA6BC" w14:textId="77777777" w:rsidR="00E5750F" w:rsidRDefault="00E5750F" w:rsidP="00E575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07F6F0" w14:textId="05D2E9B0" w:rsidR="00E5750F" w:rsidRPr="00E5750F" w:rsidRDefault="00E5750F" w:rsidP="00E575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Oświadczenia:</w:t>
      </w:r>
    </w:p>
    <w:p w14:paraId="75993997" w14:textId="77777777" w:rsidR="00E5750F" w:rsidRPr="00E5750F" w:rsidRDefault="00E5750F" w:rsidP="00E5750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433EFC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before="120"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Oświadczam, że zapoznałem się z opisem zapytania ofertowego oraz przedmiotu zamówienia i nie wnoszę do niego zastrzeżeń.</w:t>
      </w:r>
    </w:p>
    <w:p w14:paraId="38D3F707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Oświadczam, że Wykonawca, składający niniejszy formularz oferty, spełnia warunki określone przez Zamawiającego.</w:t>
      </w:r>
    </w:p>
    <w:p w14:paraId="36B8AB33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 xml:space="preserve">Oświadczam, że cena oferty uwzględnia wszystkie koszty związane z realizacją przedmiotu zamówienia, w tym koszt dostawy. </w:t>
      </w:r>
    </w:p>
    <w:p w14:paraId="62E53B2C" w14:textId="77777777" w:rsidR="002D6EAD" w:rsidRDefault="00E5750F" w:rsidP="002D6EAD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61485375" w14:textId="3CB4D0F6" w:rsidR="002D6EAD" w:rsidRPr="002D6EAD" w:rsidRDefault="002D6EAD" w:rsidP="002D6EAD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iż n</w:t>
      </w:r>
      <w:r w:rsidRPr="002D6EAD">
        <w:rPr>
          <w:rFonts w:ascii="Arial" w:eastAsia="Calibri" w:hAnsi="Arial" w:cs="Arial"/>
          <w:sz w:val="24"/>
          <w:szCs w:val="24"/>
        </w:rPr>
        <w:t>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5C16CC7F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Oświadczam, że jestem związany niniejszą ofertą na okres 30 dni od ostatecznego terminu składania ofert.</w:t>
      </w:r>
    </w:p>
    <w:p w14:paraId="71AFFD13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lastRenderedPageBreak/>
        <w:t xml:space="preserve">Świadomy odpowiedzialności karnej oświadczam, że załączone do oferty dokumenty opisują stan prawny i faktyczny na dzień złożenia oferty. </w:t>
      </w:r>
    </w:p>
    <w:p w14:paraId="078CB30C" w14:textId="77777777" w:rsidR="00E5750F" w:rsidRPr="00E5750F" w:rsidRDefault="00E5750F" w:rsidP="00E5750F">
      <w:pPr>
        <w:tabs>
          <w:tab w:val="right" w:leader="dot" w:pos="9524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</w:pPr>
    </w:p>
    <w:p w14:paraId="3BBD91A0" w14:textId="7B0B0413" w:rsidR="00E5750F" w:rsidRPr="00E5750F" w:rsidRDefault="00E5750F" w:rsidP="00E5750F">
      <w:pPr>
        <w:tabs>
          <w:tab w:val="right" w:leader="dot" w:pos="9524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</w:pP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Ponadto wskazujemy osobę upoważnioną do kontaktu z Zamawiającym w sprawach dotyczących realizacji</w:t>
      </w:r>
      <w:r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 xml:space="preserve"> </w:t>
      </w: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umowy:</w:t>
      </w:r>
      <w:r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 xml:space="preserve"> </w:t>
      </w: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……………………………………………………………….</w:t>
      </w:r>
    </w:p>
    <w:p w14:paraId="72887ECA" w14:textId="0F63E47F" w:rsidR="00E5750F" w:rsidRPr="00E5750F" w:rsidRDefault="00E5750F" w:rsidP="00E5750F">
      <w:pPr>
        <w:tabs>
          <w:tab w:val="right" w:leader="dot" w:pos="9524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</w:pP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974F926" w14:textId="77777777" w:rsidR="00E5750F" w:rsidRPr="00E5750F" w:rsidRDefault="00E5750F" w:rsidP="00E5750F">
      <w:pPr>
        <w:keepLines/>
        <w:tabs>
          <w:tab w:val="left" w:pos="1560"/>
          <w:tab w:val="center" w:pos="6532"/>
        </w:tabs>
        <w:suppressAutoHyphens/>
        <w:autoSpaceDN w:val="0"/>
        <w:spacing w:after="0" w:line="360" w:lineRule="auto"/>
        <w:ind w:left="1560"/>
        <w:jc w:val="both"/>
        <w:rPr>
          <w:rFonts w:ascii="Arial" w:eastAsia="Lucida Sans Unicode" w:hAnsi="Arial" w:cs="Arial"/>
          <w:color w:val="00000A"/>
          <w:kern w:val="3"/>
          <w:sz w:val="24"/>
          <w:szCs w:val="24"/>
          <w:lang w:eastAsia="zh-CN" w:bidi="hi-IN"/>
        </w:rPr>
      </w:pPr>
      <w:r w:rsidRPr="00E5750F">
        <w:rPr>
          <w:rFonts w:ascii="Arial" w:eastAsia="Lucida Sans Unicode" w:hAnsi="Arial" w:cs="Arial"/>
          <w:i/>
          <w:iCs/>
          <w:color w:val="00000A"/>
          <w:kern w:val="3"/>
          <w:sz w:val="24"/>
          <w:szCs w:val="24"/>
          <w:lang w:eastAsia="zh-CN" w:bidi="hi-IN"/>
        </w:rPr>
        <w:t>(imię i nazwisko, nr telefonu kontaktowego, adres e – mail)</w:t>
      </w:r>
    </w:p>
    <w:p w14:paraId="17872B0E" w14:textId="77777777" w:rsidR="00E5750F" w:rsidRPr="00E5750F" w:rsidRDefault="00E5750F" w:rsidP="00E5750F">
      <w:pPr>
        <w:tabs>
          <w:tab w:val="left" w:pos="360"/>
          <w:tab w:val="left" w:pos="2127"/>
        </w:tabs>
        <w:spacing w:after="0" w:line="360" w:lineRule="auto"/>
        <w:jc w:val="both"/>
        <w:rPr>
          <w:rFonts w:ascii="Arial" w:eastAsia="Verdana" w:hAnsi="Arial" w:cs="Arial"/>
          <w:bCs/>
          <w:sz w:val="24"/>
          <w:szCs w:val="24"/>
        </w:rPr>
      </w:pPr>
    </w:p>
    <w:p w14:paraId="378B827E" w14:textId="77777777" w:rsidR="00E5750F" w:rsidRPr="00E5750F" w:rsidRDefault="00E5750F" w:rsidP="00E5750F">
      <w:pPr>
        <w:tabs>
          <w:tab w:val="left" w:pos="360"/>
          <w:tab w:val="left" w:pos="2127"/>
        </w:tabs>
        <w:spacing w:after="0" w:line="360" w:lineRule="auto"/>
        <w:jc w:val="both"/>
        <w:rPr>
          <w:rFonts w:ascii="Arial" w:eastAsia="Verdana" w:hAnsi="Arial" w:cs="Arial"/>
          <w:bCs/>
          <w:sz w:val="24"/>
          <w:szCs w:val="24"/>
        </w:rPr>
      </w:pPr>
    </w:p>
    <w:p w14:paraId="30D6B389" w14:textId="77777777" w:rsidR="00E5750F" w:rsidRPr="00E5750F" w:rsidRDefault="00E5750F" w:rsidP="00E5750F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7B25E0B" w14:textId="77777777" w:rsidR="00E5750F" w:rsidRPr="00E5750F" w:rsidRDefault="00E5750F" w:rsidP="00E5750F">
      <w:pPr>
        <w:tabs>
          <w:tab w:val="left" w:pos="90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750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………………..................................................... </w:t>
      </w:r>
    </w:p>
    <w:p w14:paraId="50CEAC94" w14:textId="77777777" w:rsidR="00E5750F" w:rsidRPr="00E5750F" w:rsidRDefault="00E5750F" w:rsidP="00E5750F">
      <w:pPr>
        <w:tabs>
          <w:tab w:val="left" w:pos="90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750F">
        <w:rPr>
          <w:rFonts w:ascii="Arial" w:eastAsia="Times New Roman" w:hAnsi="Arial" w:cs="Arial"/>
          <w:sz w:val="24"/>
          <w:szCs w:val="24"/>
          <w:lang w:eastAsia="pl-PL"/>
        </w:rPr>
        <w:t>Data, podpis i pieczęć osoby upoważnionej</w:t>
      </w:r>
    </w:p>
    <w:p w14:paraId="39C308FD" w14:textId="77777777" w:rsidR="00E5750F" w:rsidRPr="00BA550F" w:rsidRDefault="00E5750F" w:rsidP="00BA550F">
      <w:pPr>
        <w:rPr>
          <w:rFonts w:ascii="Arial" w:hAnsi="Arial" w:cs="Arial"/>
          <w:sz w:val="24"/>
          <w:szCs w:val="24"/>
        </w:rPr>
      </w:pPr>
    </w:p>
    <w:sectPr w:rsidR="00E5750F" w:rsidRPr="00BA55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5A809" w14:textId="77777777" w:rsidR="00BE03E2" w:rsidRDefault="00BE03E2" w:rsidP="00567A60">
      <w:pPr>
        <w:spacing w:after="0" w:line="240" w:lineRule="auto"/>
      </w:pPr>
      <w:r>
        <w:separator/>
      </w:r>
    </w:p>
  </w:endnote>
  <w:endnote w:type="continuationSeparator" w:id="0">
    <w:p w14:paraId="7D811697" w14:textId="77777777" w:rsidR="00BE03E2" w:rsidRDefault="00BE03E2" w:rsidP="0056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FCD5" w14:textId="0BBB2ECE" w:rsidR="00567A60" w:rsidRDefault="00567A60" w:rsidP="00567A60">
    <w:pPr>
      <w:pStyle w:val="Stopka"/>
      <w:jc w:val="center"/>
    </w:pPr>
    <w:bookmarkStart w:id="15" w:name="_Hlk168400825"/>
    <w:r>
      <w:t>Projekt finansowany ze środków budżetu państwa, przyznanych przez Ministra Nauki w ramach Programu „Studenckie koła naukowe tworzą innowacje”</w:t>
    </w:r>
    <w:r w:rsidR="00BA293C">
      <w:br/>
      <w:t>SKN/SP/603343/2024</w:t>
    </w:r>
    <w:r w:rsidR="00BA293C">
      <w:br/>
      <w:t>„</w:t>
    </w:r>
    <w:proofErr w:type="spellStart"/>
    <w:r w:rsidR="00BA293C">
      <w:t>Granzym</w:t>
    </w:r>
    <w:proofErr w:type="spellEnd"/>
    <w:r w:rsidR="00BA293C">
      <w:t xml:space="preserve"> B jako </w:t>
    </w:r>
    <w:r w:rsidR="000066DF">
      <w:t xml:space="preserve">potencjalny </w:t>
    </w:r>
    <w:r w:rsidR="00BA293C">
      <w:t>cel terapeutyczny w immunoterapii nowotworów głowy i szyi”</w:t>
    </w:r>
  </w:p>
  <w:bookmarkEnd w:id="15"/>
  <w:p w14:paraId="41417A4E" w14:textId="77777777" w:rsidR="00567A60" w:rsidRDefault="00567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3151" w14:textId="77777777" w:rsidR="00BE03E2" w:rsidRDefault="00BE03E2" w:rsidP="00567A60">
      <w:pPr>
        <w:spacing w:after="0" w:line="240" w:lineRule="auto"/>
      </w:pPr>
      <w:r>
        <w:separator/>
      </w:r>
    </w:p>
  </w:footnote>
  <w:footnote w:type="continuationSeparator" w:id="0">
    <w:p w14:paraId="79CF51A3" w14:textId="77777777" w:rsidR="00BE03E2" w:rsidRDefault="00BE03E2" w:rsidP="0056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3D02" w14:textId="0E657C5C" w:rsidR="00567A60" w:rsidRDefault="00567A60">
    <w:pPr>
      <w:pStyle w:val="Nagwek"/>
    </w:pPr>
  </w:p>
  <w:p w14:paraId="574D3F97" w14:textId="28BE0389" w:rsidR="00333F1A" w:rsidRDefault="00567A60" w:rsidP="00333F1A">
    <w:pPr>
      <w:pStyle w:val="Nagwek"/>
    </w:pPr>
    <w:bookmarkStart w:id="5" w:name="_Hlk168400794"/>
    <w:bookmarkStart w:id="6" w:name="_Hlk168400795"/>
    <w:bookmarkStart w:id="7" w:name="_Hlk168400796"/>
    <w:bookmarkStart w:id="8" w:name="_Hlk168400797"/>
    <w:bookmarkStart w:id="9" w:name="_Hlk168400798"/>
    <w:bookmarkStart w:id="10" w:name="_Hlk168400799"/>
    <w:bookmarkStart w:id="11" w:name="_Hlk168400800"/>
    <w:bookmarkStart w:id="12" w:name="_Hlk168400801"/>
    <w:bookmarkStart w:id="13" w:name="_Hlk168400802"/>
    <w:bookmarkStart w:id="14" w:name="_Hlk168400803"/>
    <w:r>
      <w:tab/>
    </w:r>
    <w:r>
      <w:tab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3F9"/>
    <w:multiLevelType w:val="multilevel"/>
    <w:tmpl w:val="285E196C"/>
    <w:styleLink w:val="Biecalist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1214"/>
    <w:multiLevelType w:val="hybridMultilevel"/>
    <w:tmpl w:val="B1AC9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753FA"/>
    <w:multiLevelType w:val="hybridMultilevel"/>
    <w:tmpl w:val="54060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6D2B"/>
    <w:multiLevelType w:val="hybridMultilevel"/>
    <w:tmpl w:val="555C2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87F"/>
    <w:multiLevelType w:val="hybridMultilevel"/>
    <w:tmpl w:val="9B6CF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DAA"/>
    <w:multiLevelType w:val="hybridMultilevel"/>
    <w:tmpl w:val="DFA6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ED0"/>
    <w:multiLevelType w:val="multilevel"/>
    <w:tmpl w:val="414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50B94"/>
    <w:multiLevelType w:val="hybridMultilevel"/>
    <w:tmpl w:val="CFA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457A"/>
    <w:multiLevelType w:val="hybridMultilevel"/>
    <w:tmpl w:val="EFDE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923726"/>
    <w:multiLevelType w:val="hybridMultilevel"/>
    <w:tmpl w:val="E3829EE8"/>
    <w:lvl w:ilvl="0" w:tplc="9350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6328F4"/>
    <w:multiLevelType w:val="hybridMultilevel"/>
    <w:tmpl w:val="C8F4E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84943"/>
    <w:multiLevelType w:val="hybridMultilevel"/>
    <w:tmpl w:val="B47A4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6E58"/>
    <w:multiLevelType w:val="hybridMultilevel"/>
    <w:tmpl w:val="A8F4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21974"/>
    <w:multiLevelType w:val="hybridMultilevel"/>
    <w:tmpl w:val="ED78D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06FF4"/>
    <w:multiLevelType w:val="hybridMultilevel"/>
    <w:tmpl w:val="5432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61982"/>
    <w:multiLevelType w:val="hybridMultilevel"/>
    <w:tmpl w:val="9EC8C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11"/>
    <w:rsid w:val="000066DF"/>
    <w:rsid w:val="000E355A"/>
    <w:rsid w:val="00185D37"/>
    <w:rsid w:val="00200C85"/>
    <w:rsid w:val="00202830"/>
    <w:rsid w:val="002A240E"/>
    <w:rsid w:val="002C6596"/>
    <w:rsid w:val="002D6EAD"/>
    <w:rsid w:val="00312AE7"/>
    <w:rsid w:val="00333F1A"/>
    <w:rsid w:val="00363F86"/>
    <w:rsid w:val="003E1A3B"/>
    <w:rsid w:val="004060C6"/>
    <w:rsid w:val="0047234E"/>
    <w:rsid w:val="004B130D"/>
    <w:rsid w:val="00547C9E"/>
    <w:rsid w:val="00567A60"/>
    <w:rsid w:val="0058017D"/>
    <w:rsid w:val="00627B6C"/>
    <w:rsid w:val="006F3756"/>
    <w:rsid w:val="0081765F"/>
    <w:rsid w:val="00821261"/>
    <w:rsid w:val="00866811"/>
    <w:rsid w:val="0095469F"/>
    <w:rsid w:val="0097154C"/>
    <w:rsid w:val="00990DE6"/>
    <w:rsid w:val="009B6CFA"/>
    <w:rsid w:val="00AD791B"/>
    <w:rsid w:val="00BA293C"/>
    <w:rsid w:val="00BA550F"/>
    <w:rsid w:val="00BE03E2"/>
    <w:rsid w:val="00D014CC"/>
    <w:rsid w:val="00D10082"/>
    <w:rsid w:val="00D120F1"/>
    <w:rsid w:val="00E5750F"/>
    <w:rsid w:val="00E81B09"/>
    <w:rsid w:val="00EF5929"/>
    <w:rsid w:val="00F605A2"/>
    <w:rsid w:val="00F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1327"/>
  <w15:chartTrackingRefBased/>
  <w15:docId w15:val="{C5E9B02A-85F9-49FF-BF8E-C4410F7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A60"/>
  </w:style>
  <w:style w:type="paragraph" w:styleId="Stopka">
    <w:name w:val="footer"/>
    <w:basedOn w:val="Normalny"/>
    <w:link w:val="StopkaZnak"/>
    <w:uiPriority w:val="99"/>
    <w:unhideWhenUsed/>
    <w:rsid w:val="0056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A60"/>
  </w:style>
  <w:style w:type="paragraph" w:styleId="Akapitzlist">
    <w:name w:val="List Paragraph"/>
    <w:basedOn w:val="Normalny"/>
    <w:uiPriority w:val="34"/>
    <w:qFormat/>
    <w:rsid w:val="00547C9E"/>
    <w:pPr>
      <w:ind w:left="720"/>
      <w:contextualSpacing/>
    </w:pPr>
  </w:style>
  <w:style w:type="numbering" w:customStyle="1" w:styleId="Biecalista1">
    <w:name w:val="Bieżąca lista1"/>
    <w:uiPriority w:val="99"/>
    <w:rsid w:val="000E355A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8176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Andrzejuk</dc:creator>
  <cp:keywords/>
  <dc:description/>
  <cp:lastModifiedBy>Eliza Wancerz</cp:lastModifiedBy>
  <cp:revision>5</cp:revision>
  <dcterms:created xsi:type="dcterms:W3CDTF">2024-07-22T12:59:00Z</dcterms:created>
  <dcterms:modified xsi:type="dcterms:W3CDTF">2024-07-25T06:49:00Z</dcterms:modified>
</cp:coreProperties>
</file>