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1EB2C" w14:textId="7FE4543E" w:rsidR="00256EAA" w:rsidRDefault="00256EAA" w:rsidP="002847B6">
      <w:pPr>
        <w:tabs>
          <w:tab w:val="left" w:pos="1410"/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C7A3B" w14:textId="095C172E" w:rsidR="00443F42" w:rsidRPr="00830E9B" w:rsidRDefault="00256EAA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 w:rsidRPr="00830E9B">
        <w:rPr>
          <w:rFonts w:eastAsia="Calibri"/>
          <w:b/>
          <w:sz w:val="24"/>
          <w:szCs w:val="24"/>
        </w:rPr>
        <w:tab/>
      </w:r>
    </w:p>
    <w:p w14:paraId="5D249F37" w14:textId="77777777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tbl>
      <w:tblPr>
        <w:tblW w:w="0" w:type="auto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379"/>
        <w:gridCol w:w="1667"/>
      </w:tblGrid>
      <w:tr w:rsidR="0086635B" w14:paraId="320858FF" w14:textId="77777777" w:rsidTr="008475C2">
        <w:trPr>
          <w:trHeight w:val="1437"/>
        </w:trPr>
        <w:tc>
          <w:tcPr>
            <w:tcW w:w="1242" w:type="dxa"/>
          </w:tcPr>
          <w:p w14:paraId="3A49C4E3" w14:textId="77777777" w:rsidR="0086635B" w:rsidRDefault="0086635B" w:rsidP="008475C2">
            <w:pPr>
              <w:pStyle w:val="Nagwek"/>
            </w:pPr>
            <w:r>
              <w:rPr>
                <w:noProof/>
              </w:rPr>
              <w:drawing>
                <wp:inline distT="0" distB="0" distL="0" distR="0" wp14:anchorId="054AFF30" wp14:editId="09A43BB2">
                  <wp:extent cx="685800" cy="819150"/>
                  <wp:effectExtent l="0" t="0" r="0" b="0"/>
                  <wp:docPr id="2" name="Obraz 2" descr="Postać świętego Pawła, starszego Pana w żółto-białej szacie. Mężczyzna trzyma w prawej ręce miecz, w lewej czerwoną księgę. Wizerunek mężczyzny na niebieskim tl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Postać świętego Pawła, starszego Pana w żółto-białej szacie. Mężczyzna trzyma w prawej ręce miecz, w lewej czerwoną księgę. Wizerunek mężczyzny na niebieskim tle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14:paraId="3B13063E" w14:textId="77777777" w:rsidR="0086635B" w:rsidRPr="006154F2" w:rsidRDefault="0086635B" w:rsidP="008475C2">
            <w:pPr>
              <w:pStyle w:val="Nagwek"/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Gmina Krobia</w:t>
            </w:r>
          </w:p>
          <w:p w14:paraId="63E340D4" w14:textId="77777777" w:rsidR="0086635B" w:rsidRPr="006154F2" w:rsidRDefault="0086635B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ul. Rynek 1</w:t>
            </w:r>
          </w:p>
          <w:p w14:paraId="203AE9B9" w14:textId="77777777" w:rsidR="0086635B" w:rsidRPr="006154F2" w:rsidRDefault="0086635B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63-840 Krobia</w:t>
            </w:r>
          </w:p>
          <w:p w14:paraId="0F25167B" w14:textId="77777777" w:rsidR="0086635B" w:rsidRDefault="0086635B" w:rsidP="008475C2">
            <w:pPr>
              <w:pStyle w:val="Nagwek"/>
              <w:jc w:val="center"/>
            </w:pPr>
            <w:r w:rsidRPr="006154F2">
              <w:rPr>
                <w:sz w:val="28"/>
              </w:rPr>
              <w:t>www.krobia.pl</w:t>
            </w:r>
          </w:p>
        </w:tc>
        <w:tc>
          <w:tcPr>
            <w:tcW w:w="1667" w:type="dxa"/>
          </w:tcPr>
          <w:p w14:paraId="1CDC2FF9" w14:textId="77777777" w:rsidR="0086635B" w:rsidRDefault="0086635B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DEAFC39" wp14:editId="677B8B84">
                  <wp:extent cx="824812" cy="990600"/>
                  <wp:effectExtent l="0" t="0" r="0" b="0"/>
                  <wp:docPr id="1014914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555" cy="1010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91B47" w14:textId="77777777" w:rsidR="0086635B" w:rsidRPr="006154F2" w:rsidRDefault="0086635B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</w:p>
        </w:tc>
      </w:tr>
    </w:tbl>
    <w:p w14:paraId="513D5DF1" w14:textId="77777777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7E02ECA4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Pzp</w:t>
      </w:r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3AF23365" w14:textId="77777777" w:rsidR="0086635B" w:rsidRPr="0086635B" w:rsidRDefault="0086635B" w:rsidP="0086635B">
      <w:pPr>
        <w:jc w:val="center"/>
        <w:rPr>
          <w:b/>
          <w:sz w:val="24"/>
          <w:szCs w:val="24"/>
        </w:rPr>
      </w:pPr>
      <w:r w:rsidRPr="0086635B">
        <w:rPr>
          <w:b/>
          <w:sz w:val="24"/>
          <w:szCs w:val="24"/>
        </w:rPr>
        <w:t xml:space="preserve">Remont budynku szatni na boisku sportowym „Orlik” w Krobi </w:t>
      </w:r>
    </w:p>
    <w:p w14:paraId="4FB7B7E9" w14:textId="77777777" w:rsidR="00B44246" w:rsidRPr="0086635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lastRenderedPageBreak/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830E9B" w:rsidRDefault="008D21A2" w:rsidP="008D21A2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71FE268D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c) o którym mowa w art. 228–230a, art. 250a Kodeksu karnego lub w art. 46 lub art. 48 ustawy z dnia 25 czerwca 2010 r. o sporcie,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 xml:space="preserve">konsumentów, chyba że spowodowane tym zakłócenie konkurencji może być wyeliminowane w inny sposób niż </w:t>
      </w:r>
      <w:r w:rsidRPr="00830E9B">
        <w:rPr>
          <w:sz w:val="24"/>
          <w:szCs w:val="24"/>
        </w:rPr>
        <w:lastRenderedPageBreak/>
        <w:t>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42639D9D" w14:textId="0D67BFFD" w:rsidR="008D21A2" w:rsidRPr="00830E9B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60B35CAD" w14:textId="77777777" w:rsidR="00830E9B" w:rsidRPr="00830E9B" w:rsidRDefault="00830E9B" w:rsidP="00F914B2">
      <w:pPr>
        <w:jc w:val="both"/>
        <w:rPr>
          <w:color w:val="FF0000"/>
          <w:sz w:val="24"/>
          <w:szCs w:val="24"/>
        </w:rPr>
      </w:pP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2 i 5  ustawy Pzp)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2A6C39C3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 xml:space="preserve">art. 110 ust. 2 ustawy Pzp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lastRenderedPageBreak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3E0BD873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 xml:space="preserve">art. 7 ust. 1 pkt 1-3 ustawy z dnia 13 kwietnia 2022 r. o szczególnych rozwiązaniach w zakresie przeciwdziałania wspieraniu agresji na Ukrainę oraz służących ochronie bezpieczeństwa narodowego (Dz.U. </w:t>
      </w:r>
      <w:r w:rsidR="0086635B">
        <w:rPr>
          <w:b/>
          <w:bCs/>
          <w:sz w:val="24"/>
          <w:szCs w:val="24"/>
          <w:u w:val="single"/>
          <w:lang w:val="pl-PL"/>
        </w:rPr>
        <w:t xml:space="preserve">2024 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poz. </w:t>
      </w:r>
      <w:r w:rsidR="0086635B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145DF2">
      <w:headerReference w:type="default" r:id="rId10"/>
      <w:footerReference w:type="default" r:id="rId11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E62C8" w14:textId="77777777" w:rsidR="00145DF2" w:rsidRDefault="00145DF2">
      <w:pPr>
        <w:spacing w:line="240" w:lineRule="auto"/>
      </w:pPr>
      <w:r>
        <w:separator/>
      </w:r>
    </w:p>
  </w:endnote>
  <w:endnote w:type="continuationSeparator" w:id="0">
    <w:p w14:paraId="01B566BD" w14:textId="77777777" w:rsidR="00145DF2" w:rsidRDefault="00145D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C8842" w14:textId="77777777" w:rsidR="00145DF2" w:rsidRDefault="00145DF2">
      <w:pPr>
        <w:spacing w:line="240" w:lineRule="auto"/>
      </w:pPr>
      <w:r>
        <w:separator/>
      </w:r>
    </w:p>
  </w:footnote>
  <w:footnote w:type="continuationSeparator" w:id="0">
    <w:p w14:paraId="5044AA70" w14:textId="77777777" w:rsidR="00145DF2" w:rsidRDefault="00145D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5DF2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1F5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6635B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13</cp:revision>
  <cp:lastPrinted>2024-04-24T09:30:00Z</cp:lastPrinted>
  <dcterms:created xsi:type="dcterms:W3CDTF">2023-02-06T10:32:00Z</dcterms:created>
  <dcterms:modified xsi:type="dcterms:W3CDTF">2024-05-09T06:20:00Z</dcterms:modified>
</cp:coreProperties>
</file>