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8" w:type="pct"/>
        <w:jc w:val="center"/>
        <w:shd w:val="clear" w:color="auto" w:fill="FFFFFF"/>
        <w:tblCellMar>
          <w:left w:w="57" w:type="dxa"/>
          <w:right w:w="57" w:type="dxa"/>
        </w:tblCellMar>
        <w:tblLook w:val="04A0" w:firstRow="1" w:lastRow="0" w:firstColumn="1" w:lastColumn="0" w:noHBand="0" w:noVBand="1"/>
      </w:tblPr>
      <w:tblGrid>
        <w:gridCol w:w="2084"/>
        <w:gridCol w:w="1986"/>
        <w:gridCol w:w="5627"/>
      </w:tblGrid>
      <w:tr w:rsidR="00A97F0C" w:rsidRPr="002123A5" w:rsidTr="00083F3C">
        <w:trPr>
          <w:jc w:val="center"/>
        </w:trPr>
        <w:tc>
          <w:tcPr>
            <w:tcW w:w="1185" w:type="pct"/>
            <w:shd w:val="clear" w:color="auto" w:fill="FFFFFF"/>
          </w:tcPr>
          <w:p w:rsidR="00A97F0C" w:rsidRPr="002123A5" w:rsidRDefault="00A97F0C" w:rsidP="00083F3C">
            <w:pPr>
              <w:rPr>
                <w:noProof/>
                <w:lang w:eastAsia="pl-PL"/>
              </w:rPr>
            </w:pPr>
            <w:r>
              <w:rPr>
                <w:noProof/>
                <w:lang w:eastAsia="pl-PL"/>
              </w:rPr>
              <w:drawing>
                <wp:inline distT="0" distB="0" distL="0" distR="0">
                  <wp:extent cx="1219200" cy="5429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r>
              <w:rPr>
                <w:noProof/>
              </w:rPr>
              <w:t xml:space="preserve"> </w:t>
            </w:r>
          </w:p>
        </w:tc>
        <w:tc>
          <w:tcPr>
            <w:tcW w:w="804" w:type="pct"/>
            <w:shd w:val="clear" w:color="auto" w:fill="FFFFFF"/>
          </w:tcPr>
          <w:p w:rsidR="00A97F0C" w:rsidRPr="002123A5" w:rsidRDefault="00A97F0C" w:rsidP="00083F3C">
            <w:pPr>
              <w:spacing w:line="240" w:lineRule="auto"/>
              <w:ind w:right="192"/>
              <w:jc w:val="center"/>
              <w:rPr>
                <w:noProof/>
                <w:lang w:eastAsia="pl-PL"/>
              </w:rPr>
            </w:pPr>
            <w:r>
              <w:rPr>
                <w:noProof/>
                <w:lang w:eastAsia="pl-PL"/>
              </w:rPr>
              <w:drawing>
                <wp:inline distT="0" distB="0" distL="0" distR="0">
                  <wp:extent cx="1057275" cy="4762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tc>
        <w:tc>
          <w:tcPr>
            <w:tcW w:w="3011" w:type="pct"/>
            <w:shd w:val="clear" w:color="auto" w:fill="FFFFFF"/>
          </w:tcPr>
          <w:p w:rsidR="00A97F0C" w:rsidRPr="002123A5" w:rsidRDefault="00A97F0C" w:rsidP="00083F3C">
            <w:pPr>
              <w:spacing w:line="240" w:lineRule="auto"/>
              <w:rPr>
                <w:noProof/>
                <w:lang w:eastAsia="pl-PL"/>
              </w:rPr>
            </w:pPr>
            <w:r>
              <w:rPr>
                <w:noProof/>
                <w:lang w:eastAsia="pl-PL"/>
              </w:rPr>
              <w:drawing>
                <wp:inline distT="0" distB="0" distL="0" distR="0">
                  <wp:extent cx="1590675" cy="571500"/>
                  <wp:effectExtent l="0" t="0" r="0" b="0"/>
                  <wp:docPr id="6" name="Obraz 6" descr="http://www.sconkol.pl/attachments/article/1593/Logo%20SCO%20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sconkol.pl/attachments/article/1593/Logo%20SCO%20poziom.png"/>
                          <pic:cNvPicPr>
                            <a:picLocks noChangeAspect="1" noChangeArrowheads="1"/>
                          </pic:cNvPicPr>
                        </pic:nvPicPr>
                        <pic:blipFill>
                          <a:blip r:embed="rId8">
                            <a:extLst>
                              <a:ext uri="{28A0092B-C50C-407E-A947-70E740481C1C}">
                                <a14:useLocalDpi xmlns:a14="http://schemas.microsoft.com/office/drawing/2010/main" val="0"/>
                              </a:ext>
                            </a:extLst>
                          </a:blip>
                          <a:srcRect l="10718" t="34818" r="10187" b="27705"/>
                          <a:stretch>
                            <a:fillRect/>
                          </a:stretch>
                        </pic:blipFill>
                        <pic:spPr bwMode="auto">
                          <a:xfrm>
                            <a:off x="0" y="0"/>
                            <a:ext cx="1590675" cy="571500"/>
                          </a:xfrm>
                          <a:prstGeom prst="rect">
                            <a:avLst/>
                          </a:prstGeom>
                          <a:noFill/>
                          <a:ln>
                            <a:noFill/>
                          </a:ln>
                        </pic:spPr>
                      </pic:pic>
                    </a:graphicData>
                  </a:graphic>
                </wp:inline>
              </w:drawing>
            </w:r>
            <w:r>
              <w:rPr>
                <w:rFonts w:ascii="Times New Roman" w:hAnsi="Times New Roman"/>
                <w:b/>
                <w:noProof/>
                <w:sz w:val="24"/>
                <w:szCs w:val="24"/>
                <w:lang w:eastAsia="pl-PL"/>
              </w:rPr>
              <w:drawing>
                <wp:inline distT="0" distB="0" distL="0" distR="0">
                  <wp:extent cx="1771650" cy="5429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tc>
      </w:tr>
    </w:tbl>
    <w:p w:rsidR="00A97F0C" w:rsidRDefault="00A97F0C" w:rsidP="00AE6D82">
      <w:pPr>
        <w:spacing w:before="100" w:beforeAutospacing="1" w:after="100" w:afterAutospacing="1"/>
        <w:jc w:val="right"/>
        <w:rPr>
          <w:rFonts w:ascii="Times New Roman" w:hAnsi="Times New Roman"/>
          <w:b/>
          <w:bCs/>
          <w:sz w:val="20"/>
          <w:szCs w:val="20"/>
        </w:rPr>
      </w:pPr>
    </w:p>
    <w:p w:rsidR="00AE6D82" w:rsidRDefault="00AE6D82" w:rsidP="00AE6D82">
      <w:pPr>
        <w:spacing w:before="100" w:beforeAutospacing="1" w:after="100" w:afterAutospacing="1"/>
        <w:jc w:val="right"/>
        <w:rPr>
          <w:rFonts w:ascii="Times New Roman" w:hAnsi="Times New Roman"/>
          <w:b/>
          <w:bCs/>
          <w:sz w:val="20"/>
          <w:szCs w:val="20"/>
        </w:rPr>
      </w:pPr>
      <w:r>
        <w:rPr>
          <w:rFonts w:ascii="Times New Roman" w:hAnsi="Times New Roman"/>
          <w:b/>
          <w:bCs/>
          <w:sz w:val="20"/>
          <w:szCs w:val="20"/>
        </w:rPr>
        <w:t>Zał. nr 1 do SIWZ – Pakiet nr 1</w:t>
      </w:r>
    </w:p>
    <w:p w:rsidR="00AE6D82" w:rsidRDefault="00AE6D82" w:rsidP="00AE6D82">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Zestawienie parametrów i warunków technicznych</w:t>
      </w:r>
    </w:p>
    <w:p w:rsidR="00AE6D82" w:rsidRDefault="00AE6D82" w:rsidP="00AE6D82">
      <w:pPr>
        <w:spacing w:before="100" w:beforeAutospacing="1" w:after="100" w:afterAutospacing="1"/>
        <w:rPr>
          <w:rFonts w:ascii="Times New Roman" w:hAnsi="Times New Roman"/>
          <w:b/>
          <w:bCs/>
          <w:sz w:val="28"/>
          <w:szCs w:val="28"/>
        </w:rPr>
      </w:pPr>
      <w:r>
        <w:rPr>
          <w:rFonts w:ascii="Times New Roman" w:hAnsi="Times New Roman"/>
          <w:b/>
          <w:bCs/>
          <w:sz w:val="28"/>
          <w:szCs w:val="28"/>
        </w:rPr>
        <w:t>Komora  laminarna – szt. 1</w:t>
      </w:r>
    </w:p>
    <w:p w:rsidR="00AE6D82" w:rsidRDefault="00AE6D82" w:rsidP="00AE6D82">
      <w:pPr>
        <w:rPr>
          <w:rFonts w:ascii="Calibri" w:hAnsi="Calibri"/>
        </w:rPr>
      </w:pPr>
      <w:r>
        <w:t>Producent ……………………..</w:t>
      </w:r>
    </w:p>
    <w:p w:rsidR="00AE6D82" w:rsidRDefault="00AE6D82" w:rsidP="00AE6D82">
      <w:r>
        <w:t>Model ……………………………</w:t>
      </w:r>
    </w:p>
    <w:p w:rsidR="00AE6D82" w:rsidRDefault="00AE6D82" w:rsidP="00AE6D82">
      <w:r>
        <w:t>Rok produkcji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36"/>
        <w:gridCol w:w="1275"/>
        <w:gridCol w:w="1012"/>
        <w:gridCol w:w="1823"/>
      </w:tblGrid>
      <w:tr w:rsidR="00F043F0" w:rsidRPr="00F043F0" w:rsidTr="00777564">
        <w:trPr>
          <w:cantSplit/>
          <w:trHeight w:val="596"/>
          <w:jc w:val="center"/>
        </w:trPr>
        <w:tc>
          <w:tcPr>
            <w:tcW w:w="1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43F0" w:rsidRPr="00F043F0" w:rsidRDefault="00F043F0" w:rsidP="00F043F0">
            <w:pPr>
              <w:rPr>
                <w:b/>
                <w:bCs/>
              </w:rPr>
            </w:pPr>
            <w:r w:rsidRPr="00F043F0">
              <w:rPr>
                <w:b/>
                <w:bCs/>
              </w:rPr>
              <w:t>Lp.</w:t>
            </w:r>
          </w:p>
        </w:tc>
        <w:tc>
          <w:tcPr>
            <w:tcW w:w="4336" w:type="dxa"/>
            <w:tcBorders>
              <w:top w:val="single" w:sz="4" w:space="0" w:color="auto"/>
              <w:left w:val="single" w:sz="4" w:space="0" w:color="auto"/>
              <w:bottom w:val="single" w:sz="4" w:space="0" w:color="auto"/>
              <w:right w:val="single" w:sz="4" w:space="0" w:color="auto"/>
            </w:tcBorders>
            <w:shd w:val="clear" w:color="auto" w:fill="FFFFFF"/>
            <w:vAlign w:val="center"/>
          </w:tcPr>
          <w:p w:rsidR="00F043F0" w:rsidRPr="00F043F0" w:rsidRDefault="00F043F0" w:rsidP="00F043F0">
            <w:pPr>
              <w:rPr>
                <w:b/>
              </w:rPr>
            </w:pPr>
            <w:r w:rsidRPr="00F043F0">
              <w:rPr>
                <w:b/>
              </w:rPr>
              <w:t>PARAMETRY WYMAGANE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043F0" w:rsidRPr="00F043F0" w:rsidRDefault="00F043F0" w:rsidP="00F043F0">
            <w:pPr>
              <w:rPr>
                <w:b/>
              </w:rPr>
            </w:pPr>
            <w:r w:rsidRPr="00F043F0">
              <w:rPr>
                <w:b/>
              </w:rPr>
              <w:t>Warunek wymagany</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F043F0" w:rsidRPr="00F043F0" w:rsidRDefault="00F043F0" w:rsidP="00F043F0">
            <w:pPr>
              <w:rPr>
                <w:b/>
              </w:rPr>
            </w:pPr>
            <w:r w:rsidRPr="00F043F0">
              <w:rPr>
                <w:b/>
              </w:rPr>
              <w:t>Wartość oferowana</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F043F0" w:rsidRPr="00F043F0" w:rsidRDefault="00F043F0" w:rsidP="00F043F0">
            <w:pPr>
              <w:rPr>
                <w:b/>
              </w:rPr>
            </w:pPr>
            <w:r w:rsidRPr="00F043F0">
              <w:rPr>
                <w:b/>
              </w:rPr>
              <w:t>PUNKTACJA</w:t>
            </w: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F043F0">
            <w:pPr>
              <w:rPr>
                <w:b/>
              </w:rPr>
            </w:pPr>
            <w:r>
              <w:rPr>
                <w:b/>
              </w:rPr>
              <w:t>1.</w:t>
            </w:r>
          </w:p>
        </w:tc>
        <w:tc>
          <w:tcPr>
            <w:tcW w:w="8446" w:type="dxa"/>
            <w:gridSpan w:val="4"/>
            <w:tcBorders>
              <w:top w:val="single" w:sz="4" w:space="0" w:color="auto"/>
              <w:left w:val="single" w:sz="4" w:space="0" w:color="auto"/>
              <w:bottom w:val="single" w:sz="4" w:space="0" w:color="auto"/>
              <w:right w:val="single" w:sz="4" w:space="0" w:color="auto"/>
            </w:tcBorders>
            <w:vAlign w:val="center"/>
          </w:tcPr>
          <w:p w:rsidR="00F043F0" w:rsidRPr="00F043F0" w:rsidRDefault="00F043F0" w:rsidP="00F043F0">
            <w:pPr>
              <w:rPr>
                <w:b/>
              </w:rPr>
            </w:pPr>
            <w:r>
              <w:rPr>
                <w:b/>
              </w:rPr>
              <w:t>Komora laminarna</w:t>
            </w:r>
            <w:r w:rsidR="00B35CD2">
              <w:rPr>
                <w:b/>
              </w:rPr>
              <w:t xml:space="preserve"> – 1 szt.</w:t>
            </w: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rPr>
                <w:bCs/>
              </w:rPr>
            </w:pPr>
            <w:r w:rsidRPr="00F043F0">
              <w:rPr>
                <w:bCs/>
              </w:rPr>
              <w:t>Pionowy, laminarny przepływ powietrza II klasy bezpieczeństwa (</w:t>
            </w:r>
            <w:proofErr w:type="spellStart"/>
            <w:r w:rsidRPr="00F043F0">
              <w:rPr>
                <w:bCs/>
              </w:rPr>
              <w:t>Biohazard</w:t>
            </w:r>
            <w:proofErr w:type="spellEnd"/>
            <w:r w:rsidRPr="00F043F0">
              <w:rPr>
                <w:bCs/>
              </w:rPr>
              <w:t xml:space="preserve">), zgodna </w:t>
            </w:r>
            <w:r w:rsidRPr="00F043F0">
              <w:rPr>
                <w:bCs/>
              </w:rPr>
              <w:br/>
              <w:t>z normą PN-EN 12469:2002</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rPr>
                <w:bCs/>
              </w:rPr>
            </w:pPr>
            <w:r w:rsidRPr="00F043F0">
              <w:rPr>
                <w:bCs/>
              </w:rPr>
              <w:t>Szyba frontowa elektrycznie przesuwana, pochylona (minimum 9</w:t>
            </w:r>
            <w:r w:rsidRPr="00F043F0">
              <w:rPr>
                <w:bCs/>
                <w:vertAlign w:val="superscript"/>
              </w:rPr>
              <w:t>0</w:t>
            </w:r>
            <w:r w:rsidRPr="00F043F0">
              <w:rPr>
                <w:bCs/>
              </w:rPr>
              <w:t xml:space="preserve"> odchylenia od pionu)</w:t>
            </w:r>
            <w:r w:rsidRPr="00F043F0">
              <w:t>, z możliwością zatrzymywania w żądanej pozycji, pozwalająca na całkowicie szczelne zamknięcie przestrzeni roboczej po zakończeniu pracy lub do dekontaminacji, bez ramki na dolnej krawędzi. Szyba wykonana ze szkła wielowarstwowego, chroniącego przed promieniowaniem UV, przesuwana bezstopniowo. Wysokość szczeliny w pozycji roboczej minimum 200mm</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rPr>
                <w:bCs/>
              </w:rPr>
            </w:pPr>
            <w:r w:rsidRPr="00F043F0">
              <w:t>Szyby boczne ze szkła wielowarstwowego, bezpiecznego, chroniącego przed promieniowaniem UV</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 xml:space="preserve">Blat roboczy ze stali nierdzewnej, segmentowy, łatwy do demontażu, </w:t>
            </w:r>
            <w:proofErr w:type="spellStart"/>
            <w:r w:rsidRPr="00F043F0">
              <w:t>autoklawowalny</w:t>
            </w:r>
            <w:proofErr w:type="spellEnd"/>
            <w:r w:rsidRPr="00F043F0">
              <w:t>, zbiornik ze stali nierdzewnej pod blatem roboczym, łatwe do zdemontowania podpórki przedramion</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Ściana tylna z materiału odpornego na środki dezynfekujące, możliwość instalacji zaworów mediów</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CD5DFF" w:rsidP="00903E19">
            <w:pPr>
              <w:spacing w:after="0"/>
            </w:pPr>
            <w:r>
              <w:t xml:space="preserve">Panel sterujący na zewnątrz komory, mikroprocesorowa kontrola stanu pracy i stanów alarmowych  </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rPr>
                <w:bCs/>
              </w:rPr>
              <w:t xml:space="preserve">Filtry uszczelniające się automatycznie w podciśnieniu, filtr wstępny typu </w:t>
            </w:r>
            <w:proofErr w:type="spellStart"/>
            <w:r w:rsidRPr="00F043F0">
              <w:rPr>
                <w:bCs/>
              </w:rPr>
              <w:t>przeciwkurzowego</w:t>
            </w:r>
            <w:proofErr w:type="spellEnd"/>
            <w:r w:rsidRPr="00F043F0">
              <w:rPr>
                <w:bCs/>
              </w:rPr>
              <w:t>, główny i wylotowy klasy minimum H14 wg najnowszej normy EN 1822 (skuteczność filtracji 99,999% dla cząstek o średnicy większej niż 0,3µm)</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CD5DFF"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CD5DFF" w:rsidRPr="00F043F0" w:rsidRDefault="00CD5DFF"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CD5DFF" w:rsidRPr="00F043F0" w:rsidRDefault="00CD5DFF" w:rsidP="00903E19">
            <w:pPr>
              <w:spacing w:after="0"/>
              <w:rPr>
                <w:bCs/>
              </w:rPr>
            </w:pPr>
            <w:r w:rsidRPr="00F043F0">
              <w:rPr>
                <w:bCs/>
              </w:rPr>
              <w:t>Alarm optyczny i akustyczny</w:t>
            </w:r>
            <w:r>
              <w:rPr>
                <w:bCs/>
              </w:rPr>
              <w:t xml:space="preserve"> sygnalizujący nieprawidłową pracę komory, informacja o zaburzeniach parametrów pracy, identyfikacja uste</w:t>
            </w:r>
            <w:r w:rsidR="006B1C18">
              <w:rPr>
                <w:bCs/>
              </w:rPr>
              <w:t>rki</w:t>
            </w:r>
          </w:p>
        </w:tc>
        <w:tc>
          <w:tcPr>
            <w:tcW w:w="1275" w:type="dxa"/>
            <w:tcBorders>
              <w:top w:val="single" w:sz="4" w:space="0" w:color="auto"/>
              <w:left w:val="single" w:sz="4" w:space="0" w:color="auto"/>
              <w:bottom w:val="single" w:sz="4" w:space="0" w:color="auto"/>
              <w:right w:val="single" w:sz="4" w:space="0" w:color="auto"/>
            </w:tcBorders>
          </w:tcPr>
          <w:p w:rsidR="00CD5DFF" w:rsidRDefault="00CD5DFF"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CD5DFF" w:rsidRPr="00F043F0" w:rsidRDefault="00CD5DFF"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CD5DFF" w:rsidRPr="00E56D1A" w:rsidRDefault="00CD5DFF" w:rsidP="00903E19">
            <w:pPr>
              <w:spacing w:after="0"/>
            </w:pPr>
          </w:p>
        </w:tc>
      </w:tr>
      <w:tr w:rsidR="00F043F0" w:rsidRPr="00F043F0" w:rsidTr="00777564">
        <w:trPr>
          <w:trHeight w:val="57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CD5DFF" w:rsidP="00777564">
            <w:pPr>
              <w:spacing w:after="0"/>
              <w:rPr>
                <w:bCs/>
              </w:rPr>
            </w:pPr>
            <w:r>
              <w:rPr>
                <w:bCs/>
              </w:rPr>
              <w:t>Z</w:t>
            </w:r>
            <w:r w:rsidR="00F043F0" w:rsidRPr="00F043F0">
              <w:rPr>
                <w:bCs/>
              </w:rPr>
              <w:t xml:space="preserve">asilanie </w:t>
            </w:r>
            <w:r>
              <w:rPr>
                <w:bCs/>
              </w:rPr>
              <w:t>230V</w:t>
            </w:r>
            <w:r w:rsidR="00F043F0" w:rsidRPr="00F043F0">
              <w:rPr>
                <w:bCs/>
              </w:rPr>
              <w:t xml:space="preserve">, </w:t>
            </w:r>
            <w:r w:rsidR="00EB0182">
              <w:rPr>
                <w:bCs/>
              </w:rPr>
              <w:t>pobór mocy</w:t>
            </w:r>
            <w:r w:rsidR="006B1C18">
              <w:rPr>
                <w:bCs/>
              </w:rPr>
              <w:t xml:space="preserve"> max</w:t>
            </w:r>
            <w:r>
              <w:rPr>
                <w:bCs/>
              </w:rPr>
              <w:t xml:space="preserve"> 2</w:t>
            </w:r>
            <w:r w:rsidR="00777564">
              <w:rPr>
                <w:bCs/>
              </w:rPr>
              <w:t>50W,</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EB0182"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777564" w:rsidRPr="00F043F0" w:rsidTr="00777564">
        <w:trPr>
          <w:trHeight w:val="579"/>
          <w:jc w:val="center"/>
        </w:trPr>
        <w:tc>
          <w:tcPr>
            <w:tcW w:w="1188" w:type="dxa"/>
            <w:tcBorders>
              <w:top w:val="single" w:sz="4" w:space="0" w:color="auto"/>
              <w:left w:val="single" w:sz="4" w:space="0" w:color="auto"/>
              <w:bottom w:val="single" w:sz="4" w:space="0" w:color="auto"/>
              <w:right w:val="single" w:sz="4" w:space="0" w:color="auto"/>
            </w:tcBorders>
            <w:vAlign w:val="center"/>
          </w:tcPr>
          <w:p w:rsidR="00777564" w:rsidRPr="00F043F0" w:rsidRDefault="00777564"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777564" w:rsidRDefault="00777564" w:rsidP="00903E19">
            <w:pPr>
              <w:spacing w:after="0"/>
              <w:rPr>
                <w:bCs/>
              </w:rPr>
            </w:pPr>
            <w:r>
              <w:rPr>
                <w:bCs/>
              </w:rPr>
              <w:t>Głośność nie więcej niż 52dB</w:t>
            </w:r>
          </w:p>
        </w:tc>
        <w:tc>
          <w:tcPr>
            <w:tcW w:w="1275" w:type="dxa"/>
            <w:tcBorders>
              <w:top w:val="single" w:sz="4" w:space="0" w:color="auto"/>
              <w:left w:val="single" w:sz="4" w:space="0" w:color="auto"/>
              <w:bottom w:val="single" w:sz="4" w:space="0" w:color="auto"/>
              <w:right w:val="single" w:sz="4" w:space="0" w:color="auto"/>
            </w:tcBorders>
          </w:tcPr>
          <w:p w:rsidR="00777564" w:rsidRDefault="00777564"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777564" w:rsidRPr="00F043F0" w:rsidRDefault="00777564"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777564" w:rsidRPr="00E56D1A" w:rsidRDefault="00777564" w:rsidP="00777564">
            <w:pPr>
              <w:spacing w:after="0"/>
            </w:pPr>
            <w:r>
              <w:t>W</w:t>
            </w:r>
            <w:r w:rsidRPr="00E56D1A">
              <w:t xml:space="preserve">artość </w:t>
            </w:r>
            <w:r>
              <w:t xml:space="preserve">większa niż 52dB </w:t>
            </w:r>
            <w:r w:rsidRPr="00E56D1A">
              <w:t xml:space="preserve">-0pkt </w:t>
            </w:r>
            <w:r>
              <w:t>W</w:t>
            </w:r>
            <w:r w:rsidRPr="00E56D1A">
              <w:t>artość</w:t>
            </w:r>
            <w:r>
              <w:t xml:space="preserve"> równa mniejsza niż 52dB</w:t>
            </w:r>
            <w:r w:rsidRPr="00E56D1A">
              <w:t xml:space="preserve"> -10pkt</w:t>
            </w:r>
          </w:p>
        </w:tc>
      </w:tr>
      <w:tr w:rsidR="00CD5DFF"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CD5DFF" w:rsidRPr="00F043F0" w:rsidRDefault="00CD5DFF"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CD5DFF" w:rsidRPr="00CD5DFF" w:rsidRDefault="00CD5DFF" w:rsidP="00903E19">
            <w:pPr>
              <w:spacing w:after="0"/>
              <w:rPr>
                <w:bCs/>
              </w:rPr>
            </w:pPr>
            <w:r>
              <w:rPr>
                <w:bCs/>
              </w:rPr>
              <w:t xml:space="preserve">Komora wyposażona w oświetlenie wewnętrzne 0-2000 </w:t>
            </w:r>
            <w:proofErr w:type="spellStart"/>
            <w:r>
              <w:rPr>
                <w:bCs/>
              </w:rPr>
              <w:t>lux</w:t>
            </w:r>
            <w:proofErr w:type="spellEnd"/>
            <w:r>
              <w:rPr>
                <w:bCs/>
              </w:rPr>
              <w:t>, bezodblaskowe z możliwością płynnej regulacji natężenia</w:t>
            </w:r>
          </w:p>
        </w:tc>
        <w:tc>
          <w:tcPr>
            <w:tcW w:w="1275" w:type="dxa"/>
            <w:tcBorders>
              <w:top w:val="single" w:sz="4" w:space="0" w:color="auto"/>
              <w:left w:val="single" w:sz="4" w:space="0" w:color="auto"/>
              <w:bottom w:val="single" w:sz="4" w:space="0" w:color="auto"/>
              <w:right w:val="single" w:sz="4" w:space="0" w:color="auto"/>
            </w:tcBorders>
          </w:tcPr>
          <w:p w:rsidR="00CD5DFF" w:rsidRDefault="00EB0182"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CD5DFF" w:rsidRPr="00F043F0" w:rsidRDefault="00CD5DFF"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CD5DFF" w:rsidRPr="00E56D1A" w:rsidRDefault="00EB0182" w:rsidP="00903E19">
            <w:pPr>
              <w:spacing w:after="0"/>
            </w:pPr>
            <w:r w:rsidRPr="00E56D1A">
              <w:t>Najmniejsza wartość -0pkt Największa wartość -10pkt</w:t>
            </w: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EB0182" w:rsidP="00903E19">
            <w:pPr>
              <w:spacing w:after="0"/>
              <w:rPr>
                <w:bCs/>
              </w:rPr>
            </w:pPr>
            <w:r>
              <w:t>Urządzenie powinno mieć podstawę z elektryczną regulacją wysokości w zakresie</w:t>
            </w:r>
            <w:r w:rsidR="006B1C18">
              <w:t xml:space="preserve"> min.</w:t>
            </w:r>
            <w:r>
              <w:t xml:space="preserve"> 750-1050mm</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777564" w:rsidRDefault="00777564" w:rsidP="00903E19">
            <w:pPr>
              <w:spacing w:after="0"/>
            </w:pPr>
            <w:r>
              <w:t>W</w:t>
            </w:r>
            <w:r w:rsidR="00E56D1A" w:rsidRPr="00E56D1A">
              <w:t>artość</w:t>
            </w:r>
            <w:r>
              <w:t xml:space="preserve"> mniejsza niż 750-1050mm</w:t>
            </w:r>
            <w:r w:rsidR="00E56D1A" w:rsidRPr="00E56D1A">
              <w:t xml:space="preserve"> -0pkt </w:t>
            </w:r>
          </w:p>
          <w:p w:rsidR="00F043F0" w:rsidRPr="00F043F0" w:rsidRDefault="00777564" w:rsidP="00903E19">
            <w:pPr>
              <w:spacing w:after="0"/>
            </w:pPr>
            <w:r>
              <w:t>W</w:t>
            </w:r>
            <w:r w:rsidR="00E56D1A" w:rsidRPr="00E56D1A">
              <w:t>artość</w:t>
            </w:r>
            <w:r>
              <w:t xml:space="preserve"> równa/większa niż 750-1050mm</w:t>
            </w:r>
            <w:r w:rsidRPr="00E56D1A">
              <w:t xml:space="preserve"> </w:t>
            </w:r>
            <w:r w:rsidR="00E56D1A" w:rsidRPr="00E56D1A">
              <w:t xml:space="preserve"> -10pkt</w:t>
            </w: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Wymiary zewnętrzne (szer. x wys. x gł.) nie większe niż 1920 x 2400 x 800 mm</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Wymiary wewnętrzne (szer. x gł.) minimum 1800 x 620 mm</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Moduł ekonomiczny utrzymujący komorę laminarną w ciągłej gotowości do pracy przy jednoczesnym ograniczeniu zużycia energii do maksymalnej wartości 90</w:t>
            </w:r>
            <w:r w:rsidR="006B1C18">
              <w:t xml:space="preserve"> VA</w:t>
            </w:r>
            <w:r w:rsidRPr="00F043F0">
              <w:t xml:space="preserve"> i redukcji głośności do poziomu</w:t>
            </w:r>
            <w:r w:rsidR="005055F2">
              <w:t xml:space="preserve"> max.</w:t>
            </w:r>
            <w:r w:rsidRPr="00F043F0">
              <w:t xml:space="preserve"> 39 </w:t>
            </w:r>
            <w:proofErr w:type="spellStart"/>
            <w:r w:rsidRPr="00F043F0">
              <w:t>dB</w:t>
            </w:r>
            <w:proofErr w:type="spellEnd"/>
            <w:r w:rsidRPr="00F043F0">
              <w:t>, sterowany z poziomu wyświetlacza</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777564" w:rsidRDefault="00777564" w:rsidP="00903E19">
            <w:pPr>
              <w:spacing w:after="0"/>
            </w:pPr>
            <w:r>
              <w:t>W</w:t>
            </w:r>
            <w:r w:rsidR="006B1C18" w:rsidRPr="00E56D1A">
              <w:t>artość</w:t>
            </w:r>
            <w:r>
              <w:t xml:space="preserve"> większa niż 90VA i 39dB</w:t>
            </w:r>
            <w:r w:rsidR="006B1C18" w:rsidRPr="00E56D1A">
              <w:t xml:space="preserve"> -0pkt </w:t>
            </w:r>
          </w:p>
          <w:p w:rsidR="00F043F0" w:rsidRPr="00F043F0" w:rsidRDefault="00777564" w:rsidP="00903E19">
            <w:pPr>
              <w:spacing w:after="0"/>
            </w:pPr>
            <w:r>
              <w:t>W</w:t>
            </w:r>
            <w:r w:rsidR="006B1C18" w:rsidRPr="00E56D1A">
              <w:t>artość</w:t>
            </w:r>
            <w:r>
              <w:t xml:space="preserve"> mniejsza/równa 90VA i 39dB</w:t>
            </w:r>
            <w:r w:rsidRPr="00E56D1A">
              <w:t xml:space="preserve"> </w:t>
            </w:r>
            <w:r w:rsidR="006B1C18" w:rsidRPr="00E56D1A">
              <w:t xml:space="preserve"> -10pkt</w:t>
            </w:r>
          </w:p>
        </w:tc>
      </w:tr>
      <w:tr w:rsidR="00EB0182"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EB0182" w:rsidRPr="00F043F0" w:rsidRDefault="00EB0182"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EB0182" w:rsidRPr="00F043F0" w:rsidRDefault="00EB0182" w:rsidP="00903E19">
            <w:pPr>
              <w:spacing w:after="0"/>
            </w:pPr>
            <w:r>
              <w:t>Szybkość przepływu powietrza w komorze 0,28m/s +/- 10% (możliwość regulacji od 0,25 do 0,55 m/s)</w:t>
            </w:r>
          </w:p>
        </w:tc>
        <w:tc>
          <w:tcPr>
            <w:tcW w:w="1275" w:type="dxa"/>
            <w:tcBorders>
              <w:top w:val="single" w:sz="4" w:space="0" w:color="auto"/>
              <w:left w:val="single" w:sz="4" w:space="0" w:color="auto"/>
              <w:bottom w:val="single" w:sz="4" w:space="0" w:color="auto"/>
              <w:right w:val="single" w:sz="4" w:space="0" w:color="auto"/>
            </w:tcBorders>
          </w:tcPr>
          <w:p w:rsidR="00EB0182" w:rsidRDefault="006B1C18"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EB0182" w:rsidRPr="00F043F0" w:rsidRDefault="00EB0182"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EB0182" w:rsidRPr="00F043F0" w:rsidRDefault="00EB0182" w:rsidP="00903E19">
            <w:pPr>
              <w:spacing w:after="0"/>
            </w:pPr>
          </w:p>
        </w:tc>
      </w:tr>
      <w:tr w:rsidR="005055F2"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5055F2" w:rsidRPr="00F043F0" w:rsidRDefault="005055F2"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5055F2" w:rsidRDefault="006B1C18" w:rsidP="00903E19">
            <w:pPr>
              <w:spacing w:after="0"/>
            </w:pPr>
            <w:r>
              <w:t>Urządzenie wyposażone</w:t>
            </w:r>
            <w:r w:rsidR="005055F2">
              <w:t xml:space="preserve"> w trzy wentylatory typu cyfrowego</w:t>
            </w:r>
            <w:r>
              <w:t xml:space="preserve">, zapewniające stałą prędkość </w:t>
            </w:r>
            <w:r>
              <w:lastRenderedPageBreak/>
              <w:t>przepływu powietrza strugi laminarnej bez zawirowań</w:t>
            </w:r>
            <w:r w:rsidR="005055F2">
              <w:t xml:space="preserve"> </w:t>
            </w:r>
          </w:p>
        </w:tc>
        <w:tc>
          <w:tcPr>
            <w:tcW w:w="1275" w:type="dxa"/>
            <w:tcBorders>
              <w:top w:val="single" w:sz="4" w:space="0" w:color="auto"/>
              <w:left w:val="single" w:sz="4" w:space="0" w:color="auto"/>
              <w:bottom w:val="single" w:sz="4" w:space="0" w:color="auto"/>
              <w:right w:val="single" w:sz="4" w:space="0" w:color="auto"/>
            </w:tcBorders>
          </w:tcPr>
          <w:p w:rsidR="005055F2" w:rsidRDefault="006B1C18" w:rsidP="00903E19">
            <w:pPr>
              <w:spacing w:after="0"/>
            </w:pPr>
            <w:r>
              <w:lastRenderedPageBreak/>
              <w:t>TAK</w:t>
            </w:r>
          </w:p>
        </w:tc>
        <w:tc>
          <w:tcPr>
            <w:tcW w:w="1012" w:type="dxa"/>
            <w:tcBorders>
              <w:top w:val="single" w:sz="4" w:space="0" w:color="auto"/>
              <w:left w:val="single" w:sz="4" w:space="0" w:color="auto"/>
              <w:bottom w:val="single" w:sz="4" w:space="0" w:color="auto"/>
              <w:right w:val="single" w:sz="4" w:space="0" w:color="auto"/>
            </w:tcBorders>
          </w:tcPr>
          <w:p w:rsidR="005055F2" w:rsidRPr="00F043F0" w:rsidRDefault="005055F2"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5055F2" w:rsidRPr="00F043F0" w:rsidRDefault="005055F2" w:rsidP="00903E19">
            <w:pPr>
              <w:spacing w:after="0"/>
            </w:pPr>
          </w:p>
        </w:tc>
      </w:tr>
      <w:tr w:rsidR="005055F2"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5055F2" w:rsidRPr="00F043F0" w:rsidRDefault="005055F2"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5055F2" w:rsidRDefault="005055F2" w:rsidP="00903E19">
            <w:pPr>
              <w:spacing w:after="0"/>
            </w:pPr>
            <w:r>
              <w:t xml:space="preserve">Wlot powietrza z przodu </w:t>
            </w:r>
            <w:r w:rsidR="006B1C18">
              <w:t xml:space="preserve">komory powinien być w kształcie litery V </w:t>
            </w:r>
          </w:p>
        </w:tc>
        <w:tc>
          <w:tcPr>
            <w:tcW w:w="1275" w:type="dxa"/>
            <w:tcBorders>
              <w:top w:val="single" w:sz="4" w:space="0" w:color="auto"/>
              <w:left w:val="single" w:sz="4" w:space="0" w:color="auto"/>
              <w:bottom w:val="single" w:sz="4" w:space="0" w:color="auto"/>
              <w:right w:val="single" w:sz="4" w:space="0" w:color="auto"/>
            </w:tcBorders>
          </w:tcPr>
          <w:p w:rsidR="005055F2" w:rsidRDefault="006B1C18"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5055F2" w:rsidRPr="00F043F0" w:rsidRDefault="005055F2"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5055F2" w:rsidRPr="00F043F0" w:rsidRDefault="005055F2" w:rsidP="00903E19">
            <w:pPr>
              <w:spacing w:after="0"/>
            </w:pPr>
          </w:p>
        </w:tc>
      </w:tr>
      <w:tr w:rsidR="00EB0182"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EB0182" w:rsidRPr="00F043F0" w:rsidRDefault="00EB0182"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EB0182" w:rsidRDefault="00EB0182" w:rsidP="00903E19">
            <w:pPr>
              <w:spacing w:after="0"/>
            </w:pPr>
            <w:r>
              <w:t>Czujnik umożliwiający automatyczne wyłączenie funkcji ekonomicznej po włożeniu rąk do wnętrza komory</w:t>
            </w:r>
          </w:p>
        </w:tc>
        <w:tc>
          <w:tcPr>
            <w:tcW w:w="1275" w:type="dxa"/>
            <w:tcBorders>
              <w:top w:val="single" w:sz="4" w:space="0" w:color="auto"/>
              <w:left w:val="single" w:sz="4" w:space="0" w:color="auto"/>
              <w:bottom w:val="single" w:sz="4" w:space="0" w:color="auto"/>
              <w:right w:val="single" w:sz="4" w:space="0" w:color="auto"/>
            </w:tcBorders>
          </w:tcPr>
          <w:p w:rsidR="00EB0182" w:rsidRDefault="006B1C18"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EB0182" w:rsidRPr="00F043F0" w:rsidRDefault="00EB0182"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EB0182" w:rsidRPr="00F043F0" w:rsidRDefault="00EB0182"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Test instalacyjny zgodny z  aktualną normą PN-EN 12469</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49"/>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rsidRPr="00F043F0">
              <w:t>Ce</w:t>
            </w:r>
            <w:r w:rsidR="006B1C18">
              <w:t>rtyfikaty producenta i serwisu</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F043F0" w:rsidRPr="00F043F0" w:rsidTr="00777564">
        <w:trPr>
          <w:trHeight w:val="1031"/>
          <w:jc w:val="center"/>
        </w:trPr>
        <w:tc>
          <w:tcPr>
            <w:tcW w:w="1188" w:type="dxa"/>
            <w:tcBorders>
              <w:top w:val="single" w:sz="4" w:space="0" w:color="auto"/>
              <w:left w:val="single" w:sz="4" w:space="0" w:color="auto"/>
              <w:bottom w:val="single" w:sz="4" w:space="0" w:color="auto"/>
              <w:right w:val="single" w:sz="4" w:space="0" w:color="auto"/>
            </w:tcBorders>
            <w:vAlign w:val="center"/>
          </w:tcPr>
          <w:p w:rsidR="00F043F0" w:rsidRPr="00F043F0" w:rsidRDefault="00F043F0"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F043F0" w:rsidRPr="00F043F0" w:rsidRDefault="000C24BF" w:rsidP="002F1F55">
            <w:pPr>
              <w:spacing w:after="0"/>
            </w:pPr>
            <w:r>
              <w:t xml:space="preserve">Gwarancja </w:t>
            </w:r>
            <w:r w:rsidR="002F1F55">
              <w:t>minimum 24 miesi</w:t>
            </w:r>
            <w:bookmarkStart w:id="0" w:name="_GoBack"/>
            <w:bookmarkEnd w:id="0"/>
            <w:r w:rsidR="002F1F55">
              <w:t xml:space="preserve">ące </w:t>
            </w:r>
          </w:p>
        </w:tc>
        <w:tc>
          <w:tcPr>
            <w:tcW w:w="1275"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F043F0" w:rsidRPr="00F043F0" w:rsidRDefault="00F043F0" w:rsidP="00903E19">
            <w:pPr>
              <w:spacing w:after="0"/>
            </w:pPr>
          </w:p>
        </w:tc>
      </w:tr>
      <w:tr w:rsidR="00E56D1A" w:rsidRPr="00F043F0" w:rsidTr="00777564">
        <w:trPr>
          <w:trHeight w:val="707"/>
          <w:jc w:val="center"/>
        </w:trPr>
        <w:tc>
          <w:tcPr>
            <w:tcW w:w="1188" w:type="dxa"/>
            <w:tcBorders>
              <w:top w:val="single" w:sz="4" w:space="0" w:color="auto"/>
              <w:left w:val="single" w:sz="4" w:space="0" w:color="auto"/>
              <w:bottom w:val="single" w:sz="4" w:space="0" w:color="auto"/>
              <w:right w:val="single" w:sz="4" w:space="0" w:color="auto"/>
            </w:tcBorders>
            <w:vAlign w:val="center"/>
          </w:tcPr>
          <w:p w:rsidR="00E56D1A" w:rsidRPr="00F043F0" w:rsidRDefault="00E56D1A" w:rsidP="00903E19">
            <w:pPr>
              <w:spacing w:after="0"/>
            </w:pPr>
          </w:p>
        </w:tc>
        <w:tc>
          <w:tcPr>
            <w:tcW w:w="4336" w:type="dxa"/>
            <w:tcBorders>
              <w:top w:val="single" w:sz="4" w:space="0" w:color="auto"/>
              <w:left w:val="single" w:sz="4" w:space="0" w:color="auto"/>
              <w:bottom w:val="single" w:sz="4" w:space="0" w:color="auto"/>
              <w:right w:val="single" w:sz="4" w:space="0" w:color="auto"/>
            </w:tcBorders>
          </w:tcPr>
          <w:p w:rsidR="00E56D1A" w:rsidRPr="00E56D1A" w:rsidRDefault="00E56D1A" w:rsidP="00903E19">
            <w:pPr>
              <w:spacing w:after="0"/>
            </w:pPr>
            <w:r w:rsidRPr="00E56D1A">
              <w:t xml:space="preserve">Dodatkowe wyposażenie  lampy UV, </w:t>
            </w:r>
            <w:r w:rsidR="00EB0182">
              <w:t xml:space="preserve">podłokietniki, </w:t>
            </w:r>
            <w:r w:rsidRPr="00E56D1A">
              <w:t>gnia</w:t>
            </w:r>
            <w:r w:rsidR="008814E1">
              <w:t>zda elektryczne (min.2</w:t>
            </w:r>
            <w:r w:rsidR="00903E19">
              <w:t>szt.)</w:t>
            </w:r>
          </w:p>
        </w:tc>
        <w:tc>
          <w:tcPr>
            <w:tcW w:w="1275" w:type="dxa"/>
            <w:tcBorders>
              <w:top w:val="single" w:sz="4" w:space="0" w:color="auto"/>
              <w:left w:val="single" w:sz="4" w:space="0" w:color="auto"/>
              <w:bottom w:val="single" w:sz="4" w:space="0" w:color="auto"/>
              <w:right w:val="single" w:sz="4" w:space="0" w:color="auto"/>
            </w:tcBorders>
          </w:tcPr>
          <w:p w:rsidR="00E56D1A" w:rsidRPr="00F043F0" w:rsidRDefault="00E56D1A" w:rsidP="00903E19">
            <w:pPr>
              <w:spacing w:after="0"/>
            </w:pPr>
            <w:r>
              <w:t>TAK</w:t>
            </w:r>
          </w:p>
        </w:tc>
        <w:tc>
          <w:tcPr>
            <w:tcW w:w="1012" w:type="dxa"/>
            <w:tcBorders>
              <w:top w:val="single" w:sz="4" w:space="0" w:color="auto"/>
              <w:left w:val="single" w:sz="4" w:space="0" w:color="auto"/>
              <w:bottom w:val="single" w:sz="4" w:space="0" w:color="auto"/>
              <w:right w:val="single" w:sz="4" w:space="0" w:color="auto"/>
            </w:tcBorders>
          </w:tcPr>
          <w:p w:rsidR="00E56D1A" w:rsidRPr="00F043F0" w:rsidRDefault="00E56D1A" w:rsidP="00903E19">
            <w:pPr>
              <w:spacing w:after="0"/>
            </w:pPr>
          </w:p>
        </w:tc>
        <w:tc>
          <w:tcPr>
            <w:tcW w:w="1823" w:type="dxa"/>
            <w:tcBorders>
              <w:top w:val="single" w:sz="4" w:space="0" w:color="auto"/>
              <w:left w:val="single" w:sz="4" w:space="0" w:color="auto"/>
              <w:bottom w:val="single" w:sz="4" w:space="0" w:color="auto"/>
              <w:right w:val="single" w:sz="4" w:space="0" w:color="auto"/>
            </w:tcBorders>
          </w:tcPr>
          <w:p w:rsidR="00E56D1A" w:rsidRPr="00F043F0" w:rsidRDefault="00E56D1A" w:rsidP="00903E19">
            <w:pPr>
              <w:spacing w:after="0"/>
            </w:pPr>
          </w:p>
        </w:tc>
      </w:tr>
    </w:tbl>
    <w:p w:rsidR="007A207F" w:rsidRDefault="007A207F" w:rsidP="00903E19">
      <w:pPr>
        <w:spacing w:after="0"/>
      </w:pPr>
    </w:p>
    <w:p w:rsidR="008E2A93" w:rsidRDefault="008E2A93" w:rsidP="00903E19">
      <w:pPr>
        <w:spacing w:after="0"/>
      </w:pPr>
    </w:p>
    <w:tbl>
      <w:tblPr>
        <w:tblW w:w="9058" w:type="dxa"/>
        <w:jc w:val="center"/>
        <w:tblInd w:w="-1747" w:type="dxa"/>
        <w:tblCellMar>
          <w:left w:w="70" w:type="dxa"/>
          <w:right w:w="70" w:type="dxa"/>
        </w:tblCellMar>
        <w:tblLook w:val="04A0" w:firstRow="1" w:lastRow="0" w:firstColumn="1" w:lastColumn="0" w:noHBand="0" w:noVBand="1"/>
      </w:tblPr>
      <w:tblGrid>
        <w:gridCol w:w="1120"/>
        <w:gridCol w:w="4112"/>
        <w:gridCol w:w="1089"/>
        <w:gridCol w:w="2737"/>
      </w:tblGrid>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rsidR="00D01ACC" w:rsidRDefault="00D01ACC">
            <w:pPr>
              <w:spacing w:after="200" w:line="276" w:lineRule="auto"/>
              <w:ind w:left="720" w:hanging="360"/>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shd w:val="clear" w:color="auto" w:fill="D9D9D9"/>
            <w:hideMark/>
          </w:tcPr>
          <w:p w:rsidR="00D01ACC" w:rsidRDefault="00D01ACC">
            <w:pPr>
              <w:spacing w:after="200" w:line="276" w:lineRule="auto"/>
              <w:rPr>
                <w:rFonts w:ascii="Calibri" w:eastAsia="Times New Roman" w:hAnsi="Calibri" w:cs="Calibri"/>
                <w:b/>
                <w:bCs/>
                <w:color w:val="000000"/>
                <w:lang w:eastAsia="pl-PL"/>
              </w:rPr>
            </w:pPr>
            <w:r>
              <w:rPr>
                <w:rFonts w:cs="Calibri"/>
                <w:b/>
                <w:bCs/>
                <w:color w:val="000000"/>
                <w:lang w:eastAsia="pl-PL"/>
              </w:rPr>
              <w:t>INNE WYMAGANIA:</w:t>
            </w:r>
          </w:p>
        </w:tc>
        <w:tc>
          <w:tcPr>
            <w:tcW w:w="1089" w:type="dxa"/>
            <w:tcBorders>
              <w:top w:val="single" w:sz="4" w:space="0" w:color="auto"/>
              <w:left w:val="nil"/>
              <w:bottom w:val="single" w:sz="4" w:space="0" w:color="auto"/>
              <w:right w:val="single" w:sz="4" w:space="0" w:color="auto"/>
            </w:tcBorders>
            <w:shd w:val="clear" w:color="auto" w:fill="D9D9D9"/>
          </w:tcPr>
          <w:p w:rsidR="00D01ACC" w:rsidRDefault="00D01ACC">
            <w:pPr>
              <w:spacing w:after="200" w:line="276" w:lineRule="auto"/>
              <w:rPr>
                <w:rFonts w:ascii="Calibri" w:eastAsia="Times New Roman" w:hAnsi="Calibri" w:cs="Calibri"/>
                <w:b/>
                <w:bCs/>
                <w:color w:val="000000"/>
                <w:lang w:eastAsia="pl-PL"/>
              </w:rPr>
            </w:pPr>
          </w:p>
        </w:tc>
        <w:tc>
          <w:tcPr>
            <w:tcW w:w="2737" w:type="dxa"/>
            <w:tcBorders>
              <w:top w:val="single" w:sz="4" w:space="0" w:color="auto"/>
              <w:left w:val="nil"/>
              <w:bottom w:val="single" w:sz="4" w:space="0" w:color="auto"/>
              <w:right w:val="single" w:sz="4" w:space="0" w:color="auto"/>
            </w:tcBorders>
            <w:shd w:val="clear" w:color="auto" w:fill="D9D9D9"/>
          </w:tcPr>
          <w:p w:rsidR="00D01ACC" w:rsidRDefault="00D01ACC">
            <w:pPr>
              <w:spacing w:after="200" w:line="276" w:lineRule="auto"/>
              <w:rPr>
                <w:rFonts w:ascii="Calibri" w:eastAsia="Times New Roman" w:hAnsi="Calibri" w:cs="Calibri"/>
                <w:b/>
                <w:bCs/>
                <w:color w:val="000000"/>
                <w:lang w:eastAsia="pl-PL"/>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rsidP="0088756F">
            <w:pPr>
              <w:spacing w:after="200" w:line="276" w:lineRule="auto"/>
              <w:rPr>
                <w:rFonts w:ascii="Calibri" w:eastAsia="Times New Roman" w:hAnsi="Calibri" w:cs="Calibri"/>
              </w:rPr>
            </w:pPr>
            <w:r>
              <w:rPr>
                <w:rFonts w:cs="Calibri"/>
              </w:rPr>
              <w:t xml:space="preserve">Czas reakcji (przyjęcie zgłoszenia, podjęcia naprawy) serwisu gwarancyjnego nie może przekraczać </w:t>
            </w:r>
            <w:r w:rsidR="0088756F">
              <w:rPr>
                <w:rFonts w:cs="Calibri"/>
              </w:rPr>
              <w:t>48</w:t>
            </w:r>
            <w:r>
              <w:rPr>
                <w:rFonts w:cs="Calibri"/>
              </w:rPr>
              <w:t xml:space="preserve"> godzin w dni robocze rozumiane jako dni od </w:t>
            </w:r>
            <w:proofErr w:type="spellStart"/>
            <w:r>
              <w:rPr>
                <w:rFonts w:cs="Calibri"/>
              </w:rPr>
              <w:t>pn-pt</w:t>
            </w:r>
            <w:proofErr w:type="spellEnd"/>
            <w:r>
              <w:rPr>
                <w:rFonts w:cs="Calibri"/>
              </w:rPr>
              <w:t xml:space="preserve"> z wyłączeniem dni ustawowo wolnych od pracy</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Times New Roman"/>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rsidP="0088756F">
            <w:pPr>
              <w:spacing w:after="200" w:line="276" w:lineRule="auto"/>
              <w:rPr>
                <w:rFonts w:ascii="Calibri" w:eastAsia="Times New Roman" w:hAnsi="Calibri" w:cs="Calibri"/>
              </w:rPr>
            </w:pPr>
            <w:r>
              <w:rPr>
                <w:rFonts w:cs="Calibri"/>
              </w:rPr>
              <w:t xml:space="preserve">Czas skutecznej naprawy bez użycia części zamiennych licząc od momentu zgłoszenia awarii – max </w:t>
            </w:r>
            <w:r w:rsidR="0088756F">
              <w:rPr>
                <w:rFonts w:cs="Calibri"/>
              </w:rPr>
              <w:t>72</w:t>
            </w:r>
            <w:r>
              <w:rPr>
                <w:rFonts w:cs="Calibri"/>
              </w:rPr>
              <w:t xml:space="preserve"> godzin w dni rozumiane, jako dni od </w:t>
            </w:r>
            <w:proofErr w:type="spellStart"/>
            <w:r>
              <w:rPr>
                <w:rFonts w:cs="Calibri"/>
              </w:rPr>
              <w:t>pn-pt</w:t>
            </w:r>
            <w:proofErr w:type="spellEnd"/>
            <w:r>
              <w:rPr>
                <w:rFonts w:cs="Calibri"/>
              </w:rPr>
              <w:t xml:space="preserve"> z wyłączeniem dni ustawowo wolnych od pracy.</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rsidP="0088756F">
            <w:pPr>
              <w:spacing w:after="200" w:line="276" w:lineRule="auto"/>
              <w:rPr>
                <w:rFonts w:ascii="Calibri" w:eastAsia="Times New Roman" w:hAnsi="Calibri" w:cs="Calibri"/>
              </w:rPr>
            </w:pPr>
            <w:r>
              <w:rPr>
                <w:rFonts w:cs="Calibri"/>
              </w:rPr>
              <w:t xml:space="preserve">Czas skutecznej naprawy z użyciem części zamiennych licząc od momentu zgłoszenia awarii – max. </w:t>
            </w:r>
            <w:r w:rsidR="0088756F">
              <w:rPr>
                <w:rFonts w:cs="Calibri"/>
              </w:rPr>
              <w:t>14</w:t>
            </w:r>
            <w:r>
              <w:rPr>
                <w:rFonts w:cs="Calibri"/>
              </w:rPr>
              <w:t xml:space="preserve"> dni roboczych rozumiane, jako dni </w:t>
            </w:r>
            <w:proofErr w:type="spellStart"/>
            <w:r>
              <w:rPr>
                <w:rFonts w:cs="Calibri"/>
              </w:rPr>
              <w:t>pn-pt</w:t>
            </w:r>
            <w:proofErr w:type="spellEnd"/>
            <w:r>
              <w:rPr>
                <w:rFonts w:cs="Calibri"/>
              </w:rPr>
              <w:t xml:space="preserve"> z wyłączeniem dni ustawowo wolnych od pracy. </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Gwarancję przedłuża się o okres przerwy w eksploatacji związany z naprawa urządzenia.</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Wszelkie naprawy serwisowe oraz czynności obsługowe dokonane w okresie gwarancyjnym zostaną odnotowane przez serwis Wykonawcy w karcie pracy lub raporcie serwisowym.</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W okresie gwarancji naprawy techniczne lub wynikające z wad ukrytych tego samego podzespołu powodują wymianę podzespołu na nowy.</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 xml:space="preserve">Wykonawca gwarantuje Zamawiającemu pełny zakres obsługi gwarancyjnej nieodpłatnie (z wyjątkiem uszkodzeń z winy użytkownika) </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Wykonawca wykona bezpłatne okresowe przeglądy, w terminach zalecanych przez producenta urządzenia, oraz wykona bezpłatny przegląd pod koniec okresu gwarancyjnego (30 dni przed upływem okresu gwarancji).</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 xml:space="preserve">Podać ilość zalecanych przez producenta przeglądów </w:t>
            </w: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Wykonawca w porozumieniu z upoważnionym przedstawicielem Zamawiającego sporządzi harmonogram przeglądów. Przeprowadzenie przeglądu Wykonawca potwierdzi protokołem i przekaże go Zamawiającemu</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Wraz z aparatem instrukcja obsługi w języku polskim.</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r w:rsidR="00D01ACC" w:rsidTr="00D01ACC">
        <w:trPr>
          <w:trHeight w:val="285"/>
          <w:jc w:val="center"/>
        </w:trPr>
        <w:tc>
          <w:tcPr>
            <w:tcW w:w="1120" w:type="dxa"/>
            <w:tcBorders>
              <w:top w:val="single" w:sz="4" w:space="0" w:color="auto"/>
              <w:left w:val="single" w:sz="4" w:space="0" w:color="auto"/>
              <w:bottom w:val="single" w:sz="4" w:space="0" w:color="auto"/>
              <w:right w:val="single" w:sz="4" w:space="0" w:color="auto"/>
            </w:tcBorders>
            <w:vAlign w:val="center"/>
          </w:tcPr>
          <w:p w:rsidR="00D01ACC" w:rsidRDefault="00D01ACC">
            <w:pPr>
              <w:numPr>
                <w:ilvl w:val="0"/>
                <w:numId w:val="1"/>
              </w:numPr>
              <w:suppressAutoHyphens/>
              <w:spacing w:after="0" w:line="240" w:lineRule="auto"/>
              <w:jc w:val="center"/>
              <w:rPr>
                <w:rFonts w:ascii="Calibri" w:eastAsia="Times New Roman" w:hAnsi="Calibri" w:cs="Calibri"/>
              </w:rPr>
            </w:pPr>
          </w:p>
        </w:tc>
        <w:tc>
          <w:tcPr>
            <w:tcW w:w="4112"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Szkolenie/ instruktaż personelu medycznego w zakresie eksploatacji i obsługi przeprowadzone w miejscu instalacji systemu.</w:t>
            </w:r>
          </w:p>
        </w:tc>
        <w:tc>
          <w:tcPr>
            <w:tcW w:w="1089" w:type="dxa"/>
            <w:tcBorders>
              <w:top w:val="single" w:sz="4" w:space="0" w:color="auto"/>
              <w:left w:val="nil"/>
              <w:bottom w:val="single" w:sz="4" w:space="0" w:color="auto"/>
              <w:right w:val="single" w:sz="4" w:space="0" w:color="auto"/>
            </w:tcBorders>
            <w:hideMark/>
          </w:tcPr>
          <w:p w:rsidR="00D01ACC" w:rsidRDefault="00D01ACC">
            <w:pPr>
              <w:spacing w:after="200" w:line="276" w:lineRule="auto"/>
              <w:rPr>
                <w:rFonts w:ascii="Calibri" w:eastAsia="Times New Roman" w:hAnsi="Calibri" w:cs="Calibri"/>
              </w:rPr>
            </w:pPr>
            <w:r>
              <w:rPr>
                <w:rFonts w:cs="Calibri"/>
              </w:rPr>
              <w:t>TAK</w:t>
            </w:r>
          </w:p>
        </w:tc>
        <w:tc>
          <w:tcPr>
            <w:tcW w:w="2737" w:type="dxa"/>
            <w:tcBorders>
              <w:top w:val="single" w:sz="4" w:space="0" w:color="auto"/>
              <w:left w:val="nil"/>
              <w:bottom w:val="single" w:sz="4" w:space="0" w:color="auto"/>
              <w:right w:val="single" w:sz="4" w:space="0" w:color="auto"/>
            </w:tcBorders>
          </w:tcPr>
          <w:p w:rsidR="00D01ACC" w:rsidRDefault="00D01ACC">
            <w:pPr>
              <w:spacing w:after="200" w:line="276" w:lineRule="auto"/>
              <w:rPr>
                <w:rFonts w:ascii="Calibri" w:eastAsia="Times New Roman" w:hAnsi="Calibri" w:cs="Calibri"/>
              </w:rPr>
            </w:pPr>
          </w:p>
        </w:tc>
      </w:tr>
    </w:tbl>
    <w:p w:rsidR="008E2A93" w:rsidRDefault="008E2A93" w:rsidP="00903E19">
      <w:pPr>
        <w:spacing w:after="0"/>
      </w:pPr>
    </w:p>
    <w:sectPr w:rsidR="008E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563D8"/>
    <w:multiLevelType w:val="hybridMultilevel"/>
    <w:tmpl w:val="E8744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F0"/>
    <w:rsid w:val="000C24BF"/>
    <w:rsid w:val="002F1F55"/>
    <w:rsid w:val="00450FFA"/>
    <w:rsid w:val="005055F2"/>
    <w:rsid w:val="006B1C18"/>
    <w:rsid w:val="00777564"/>
    <w:rsid w:val="007A207F"/>
    <w:rsid w:val="008814E1"/>
    <w:rsid w:val="0088756F"/>
    <w:rsid w:val="008E2A93"/>
    <w:rsid w:val="00903E19"/>
    <w:rsid w:val="00964BB5"/>
    <w:rsid w:val="00A97F0C"/>
    <w:rsid w:val="00AE6D82"/>
    <w:rsid w:val="00B35CD2"/>
    <w:rsid w:val="00C8683A"/>
    <w:rsid w:val="00CD5DFF"/>
    <w:rsid w:val="00D01ACC"/>
    <w:rsid w:val="00D360D8"/>
    <w:rsid w:val="00D44FAE"/>
    <w:rsid w:val="00E56D1A"/>
    <w:rsid w:val="00E96773"/>
    <w:rsid w:val="00EB0182"/>
    <w:rsid w:val="00F04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7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7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0235">
      <w:bodyDiv w:val="1"/>
      <w:marLeft w:val="0"/>
      <w:marRight w:val="0"/>
      <w:marTop w:val="0"/>
      <w:marBottom w:val="0"/>
      <w:divBdr>
        <w:top w:val="none" w:sz="0" w:space="0" w:color="auto"/>
        <w:left w:val="none" w:sz="0" w:space="0" w:color="auto"/>
        <w:bottom w:val="none" w:sz="0" w:space="0" w:color="auto"/>
        <w:right w:val="none" w:sz="0" w:space="0" w:color="auto"/>
      </w:divBdr>
    </w:div>
    <w:div w:id="990866775">
      <w:bodyDiv w:val="1"/>
      <w:marLeft w:val="0"/>
      <w:marRight w:val="0"/>
      <w:marTop w:val="0"/>
      <w:marBottom w:val="0"/>
      <w:divBdr>
        <w:top w:val="none" w:sz="0" w:space="0" w:color="auto"/>
        <w:left w:val="none" w:sz="0" w:space="0" w:color="auto"/>
        <w:bottom w:val="none" w:sz="0" w:space="0" w:color="auto"/>
        <w:right w:val="none" w:sz="0" w:space="0" w:color="auto"/>
      </w:divBdr>
    </w:div>
    <w:div w:id="17060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Celebańska Anita</dc:creator>
  <cp:keywords/>
  <dc:description/>
  <cp:lastModifiedBy>Klimczak Mariusz</cp:lastModifiedBy>
  <cp:revision>10</cp:revision>
  <cp:lastPrinted>2018-12-27T09:25:00Z</cp:lastPrinted>
  <dcterms:created xsi:type="dcterms:W3CDTF">2018-12-19T10:57:00Z</dcterms:created>
  <dcterms:modified xsi:type="dcterms:W3CDTF">2018-12-27T13:10:00Z</dcterms:modified>
</cp:coreProperties>
</file>