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7A2A8D7" w14:textId="6DCA074A" w:rsidR="001621E0" w:rsidRPr="001621E0" w:rsidRDefault="001621E0" w:rsidP="001621E0">
      <w:pPr>
        <w:spacing w:line="240" w:lineRule="auto"/>
        <w:jc w:val="center"/>
        <w:rPr>
          <w:rFonts w:asciiTheme="minorHAnsi" w:eastAsia="Times New Roman" w:hAnsiTheme="minorHAnsi" w:cstheme="minorHAnsi"/>
          <w:b/>
          <w:lang w:val="pl-PL"/>
        </w:rPr>
      </w:pPr>
      <w:bookmarkStart w:id="3" w:name="_Hlk107841529"/>
      <w:r w:rsidRPr="001621E0">
        <w:rPr>
          <w:rFonts w:asciiTheme="minorHAnsi" w:eastAsia="Times New Roman" w:hAnsiTheme="minorHAnsi" w:cstheme="minorHAnsi"/>
          <w:b/>
          <w:lang w:val="pl-PL"/>
        </w:rPr>
        <w:t xml:space="preserve">Rozbudowa/przebudowa pasa drogi powiatowej polegająca na budowie ścieżki pieszo-rowerowej na odcinku od skrzyżowania ul. Pocztowej (2401P) z ul. Ojca Mariana Żelazka (2391P) w Palędziu </w:t>
      </w:r>
      <w:r>
        <w:rPr>
          <w:rFonts w:asciiTheme="minorHAnsi" w:eastAsia="Times New Roman" w:hAnsiTheme="minorHAnsi" w:cstheme="minorHAnsi"/>
          <w:b/>
          <w:lang w:val="pl-PL"/>
        </w:rPr>
        <w:t xml:space="preserve">                                                               </w:t>
      </w:r>
      <w:r w:rsidRPr="001621E0">
        <w:rPr>
          <w:rFonts w:asciiTheme="minorHAnsi" w:eastAsia="Times New Roman" w:hAnsiTheme="minorHAnsi" w:cstheme="minorHAnsi"/>
          <w:b/>
          <w:lang w:val="pl-PL"/>
        </w:rPr>
        <w:t>do ul. Kolejowej w m. Gołuski.</w:t>
      </w:r>
    </w:p>
    <w:p w14:paraId="46342077" w14:textId="77777777" w:rsidR="001621E0" w:rsidRPr="001621E0" w:rsidRDefault="001621E0" w:rsidP="001621E0">
      <w:pPr>
        <w:spacing w:line="240" w:lineRule="auto"/>
        <w:jc w:val="both"/>
        <w:rPr>
          <w:rFonts w:asciiTheme="minorHAnsi" w:eastAsiaTheme="minorHAnsi" w:hAnsiTheme="minorHAnsi" w:cstheme="minorHAnsi"/>
          <w:kern w:val="3"/>
          <w:lang w:val="pl-PL" w:eastAsia="en-US"/>
        </w:rPr>
      </w:pP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4C9215DC"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04BB0">
        <w:rPr>
          <w:rFonts w:asciiTheme="minorHAnsi" w:hAnsiTheme="minorHAnsi" w:cstheme="minorHAnsi"/>
          <w:b/>
          <w:bCs/>
        </w:rPr>
        <w:t>2</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0913892"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02</w:t>
      </w:r>
      <w:r w:rsidR="00311B20" w:rsidRPr="002A54B4">
        <w:rPr>
          <w:rFonts w:asciiTheme="minorHAnsi" w:eastAsia="Times New Roman" w:hAnsiTheme="minorHAnsi" w:cstheme="minorHAnsi"/>
          <w:b/>
          <w:bCs/>
        </w:rPr>
        <w:t>.</w:t>
      </w:r>
      <w:r w:rsidR="00922240">
        <w:rPr>
          <w:rFonts w:asciiTheme="minorHAnsi" w:eastAsia="Times New Roman" w:hAnsiTheme="minorHAnsi" w:cstheme="minorHAnsi"/>
          <w:b/>
          <w:bCs/>
        </w:rPr>
        <w:t>16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77C08E81"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794D356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78B4F2D9"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2382471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608FF24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183D31B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51F66FD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36F65CD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4C390B4B"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4E876CD9" w14:textId="3059E4B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65F1EBD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201D43E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70E87E9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0DC5443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415BF43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6748FE0" w14:textId="4FC2050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48E3016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5F6D3F8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713E4FC2"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11B1091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35D3F3C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325F388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656A211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9" w:name="_Toc135663017"/>
      <w:r w:rsidRPr="008870AA">
        <w:rPr>
          <w:rFonts w:asciiTheme="minorHAnsi" w:hAnsiTheme="minorHAnsi" w:cstheme="minorHAnsi"/>
          <w:b/>
          <w:bCs/>
          <w:sz w:val="24"/>
          <w:szCs w:val="24"/>
        </w:rPr>
        <w:t>IV. Opis przedmiotu zamówienia</w:t>
      </w:r>
      <w:bookmarkStart w:id="10" w:name="_Hlk66787009"/>
      <w:bookmarkEnd w:id="9"/>
    </w:p>
    <w:p w14:paraId="52F4A5C8" w14:textId="77777777" w:rsidR="00CA0BDC" w:rsidRPr="00CA0BDC" w:rsidRDefault="00CA0BDC" w:rsidP="00CA0BDC"/>
    <w:p w14:paraId="03BB1852" w14:textId="231DC31B" w:rsidR="00E04BB0" w:rsidRPr="00E04BB0" w:rsidRDefault="008870AA" w:rsidP="00E04BB0">
      <w:pPr>
        <w:spacing w:line="240" w:lineRule="auto"/>
        <w:jc w:val="both"/>
        <w:rPr>
          <w:rFonts w:asciiTheme="minorHAnsi" w:eastAsia="Times New Roman" w:hAnsiTheme="minorHAnsi" w:cstheme="minorHAnsi"/>
          <w:b/>
          <w:lang w:val="pl-PL"/>
        </w:rPr>
      </w:pPr>
      <w:bookmarkStart w:id="11" w:name="_Hlk86912487"/>
      <w:r w:rsidRPr="0063231B">
        <w:rPr>
          <w:rFonts w:asciiTheme="minorHAnsi" w:hAnsiTheme="minorHAnsi" w:cstheme="minorHAnsi"/>
          <w:b/>
          <w:bCs/>
        </w:rPr>
        <w:t>1.</w:t>
      </w:r>
      <w:r w:rsidRPr="0063231B">
        <w:rPr>
          <w:rFonts w:asciiTheme="minorHAnsi" w:hAnsiTheme="minorHAnsi" w:cstheme="minorHAnsi"/>
        </w:rPr>
        <w:t xml:space="preserve"> Przedmiotem </w:t>
      </w:r>
      <w:r w:rsidR="00F25413" w:rsidRPr="0063231B">
        <w:rPr>
          <w:rFonts w:asciiTheme="minorHAnsi" w:hAnsiTheme="minorHAnsi" w:cstheme="minorHAnsi"/>
        </w:rPr>
        <w:t xml:space="preserve">niniejszego </w:t>
      </w:r>
      <w:r w:rsidRPr="0063231B">
        <w:rPr>
          <w:rFonts w:asciiTheme="minorHAnsi" w:hAnsiTheme="minorHAnsi" w:cstheme="minorHAnsi"/>
        </w:rPr>
        <w:t xml:space="preserve">zamówienia </w:t>
      </w:r>
      <w:r w:rsidR="00F25413" w:rsidRPr="0063231B">
        <w:rPr>
          <w:rFonts w:asciiTheme="minorHAnsi" w:hAnsiTheme="minorHAnsi" w:cstheme="minorHAnsi"/>
        </w:rPr>
        <w:t>jest</w:t>
      </w:r>
      <w:bookmarkStart w:id="12" w:name="_Hlk124949566"/>
      <w:r w:rsidR="008D453C" w:rsidRPr="0063231B">
        <w:rPr>
          <w:rFonts w:asciiTheme="minorHAnsi" w:hAnsiTheme="minorHAnsi" w:cstheme="minorHAnsi"/>
        </w:rPr>
        <w:t xml:space="preserve"> </w:t>
      </w:r>
      <w:r w:rsidR="00E04BB0">
        <w:rPr>
          <w:rFonts w:asciiTheme="minorHAnsi" w:eastAsia="Times New Roman" w:hAnsiTheme="minorHAnsi" w:cstheme="minorHAnsi"/>
          <w:b/>
          <w:lang w:val="pl-PL"/>
        </w:rPr>
        <w:t>r</w:t>
      </w:r>
      <w:r w:rsidR="00E04BB0" w:rsidRPr="00E04BB0">
        <w:rPr>
          <w:rFonts w:asciiTheme="minorHAnsi" w:eastAsia="Times New Roman" w:hAnsiTheme="minorHAnsi" w:cstheme="minorHAnsi"/>
          <w:b/>
          <w:lang w:val="pl-PL"/>
        </w:rPr>
        <w:t>ozbudowa/przebudowa pasa drogi powiatowej polegająca na budowie ścieżki pieszo-rowerowej na odcinku od skrzyżowania ul. Pocztowej (2401P) z ul. Ojca Mariana Żelazka (2391P) w Palędziu do ul. Kolejowej w m. Gołuski.</w:t>
      </w:r>
    </w:p>
    <w:p w14:paraId="72069E67" w14:textId="3BA0AF45" w:rsidR="0063231B" w:rsidRPr="00C54C1C" w:rsidRDefault="0063231B" w:rsidP="0063231B">
      <w:pPr>
        <w:pStyle w:val="Default"/>
        <w:jc w:val="both"/>
        <w:rPr>
          <w:sz w:val="22"/>
          <w:szCs w:val="22"/>
        </w:rPr>
      </w:pPr>
    </w:p>
    <w:p w14:paraId="67C23FA0" w14:textId="77777777" w:rsidR="00C54C1C" w:rsidRDefault="00C54C1C" w:rsidP="00C54C1C">
      <w:pPr>
        <w:tabs>
          <w:tab w:val="left" w:pos="284"/>
        </w:tabs>
        <w:jc w:val="both"/>
        <w:rPr>
          <w:rFonts w:asciiTheme="minorHAnsi" w:eastAsiaTheme="minorHAnsi" w:hAnsiTheme="minorHAnsi" w:cstheme="minorHAnsi"/>
          <w:b/>
          <w:szCs w:val="24"/>
          <w:lang w:val="pl-PL" w:eastAsia="en-US"/>
        </w:rPr>
      </w:pPr>
    </w:p>
    <w:p w14:paraId="29D52072" w14:textId="4AF59D8B" w:rsidR="00344914" w:rsidRPr="00344914" w:rsidRDefault="00344914" w:rsidP="00C54C1C">
      <w:pPr>
        <w:tabs>
          <w:tab w:val="left" w:pos="284"/>
        </w:tabs>
        <w:jc w:val="both"/>
        <w:rPr>
          <w:rFonts w:asciiTheme="minorHAnsi" w:eastAsia="Times New Roman" w:hAnsiTheme="minorHAnsi" w:cstheme="minorHAnsi"/>
          <w:b/>
          <w:lang w:val="pl-PL"/>
        </w:rPr>
      </w:pPr>
      <w:r w:rsidRPr="00344914">
        <w:rPr>
          <w:rFonts w:asciiTheme="minorHAnsi" w:eastAsia="Times New Roman" w:hAnsiTheme="minorHAnsi" w:cstheme="minorHAnsi"/>
          <w:b/>
          <w:lang w:val="pl-PL"/>
        </w:rPr>
        <w:t xml:space="preserve">Krótki opis przedmiotu zamówienia: </w:t>
      </w:r>
    </w:p>
    <w:p w14:paraId="0EDC9238" w14:textId="39F9B944"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xml:space="preserve">Rozbudowa/przebudowa pasa drogi powiatowej polegająca na budowie ścieżki pieszo- rowerowej na odcinku od skrzyżowania ul. Pocztowej (2401P) z ul. Ojca Mariana Żelazka (2391P) w Palędziu do ul. Klonowej w m. Gołuski  wraz z odwodnieniem i oświetleniem, </w:t>
      </w:r>
      <w:r w:rsidR="00204F9E">
        <w:rPr>
          <w:rFonts w:asciiTheme="minorHAnsi" w:eastAsia="Times New Roman" w:hAnsiTheme="minorHAnsi" w:cstheme="minorHAnsi"/>
          <w:lang w:val="pl-PL"/>
        </w:rPr>
        <w:t>polegająca na</w:t>
      </w:r>
      <w:r w:rsidRPr="005F2EDB">
        <w:rPr>
          <w:rFonts w:asciiTheme="minorHAnsi" w:eastAsia="Times New Roman" w:hAnsiTheme="minorHAnsi" w:cstheme="minorHAnsi"/>
          <w:lang w:val="pl-PL"/>
        </w:rPr>
        <w:t>:</w:t>
      </w:r>
    </w:p>
    <w:p w14:paraId="3EE22378" w14:textId="1CC09821"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 xml:space="preserve"> ciągu pieszo-rowerowego szer. min.3,0</w:t>
      </w:r>
      <w:r>
        <w:rPr>
          <w:rFonts w:asciiTheme="minorHAnsi" w:eastAsia="Times New Roman" w:hAnsiTheme="minorHAnsi" w:cstheme="minorHAnsi"/>
          <w:lang w:val="pl-PL"/>
        </w:rPr>
        <w:t xml:space="preserve"> </w:t>
      </w:r>
      <w:r w:rsidRPr="005F2EDB">
        <w:rPr>
          <w:rFonts w:asciiTheme="minorHAnsi" w:eastAsia="Times New Roman" w:hAnsiTheme="minorHAnsi" w:cstheme="minorHAnsi"/>
          <w:lang w:val="pl-PL"/>
        </w:rPr>
        <w:t>m i długości ok. 1933,0m z kostki betonowej z mikrofazą;</w:t>
      </w:r>
    </w:p>
    <w:p w14:paraId="0477841F" w14:textId="6A570DCE"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 xml:space="preserve"> chodników szer. 1,5-2,0m;</w:t>
      </w:r>
    </w:p>
    <w:p w14:paraId="78143E59" w14:textId="459E032B"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 xml:space="preserve"> zatok autobusowych szer. min. 3,0</w:t>
      </w:r>
      <w:r>
        <w:rPr>
          <w:rFonts w:asciiTheme="minorHAnsi" w:eastAsia="Times New Roman" w:hAnsiTheme="minorHAnsi" w:cstheme="minorHAnsi"/>
          <w:lang w:val="pl-PL"/>
        </w:rPr>
        <w:t xml:space="preserve"> </w:t>
      </w:r>
      <w:r w:rsidRPr="005F2EDB">
        <w:rPr>
          <w:rFonts w:asciiTheme="minorHAnsi" w:eastAsia="Times New Roman" w:hAnsiTheme="minorHAnsi" w:cstheme="minorHAnsi"/>
          <w:lang w:val="pl-PL"/>
        </w:rPr>
        <w:t>m wraz z peronami szer. min. 2,0m (1,5m w rejonie wiat);</w:t>
      </w:r>
    </w:p>
    <w:p w14:paraId="3BA8D92A" w14:textId="316E37A8"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niezbędn</w:t>
      </w:r>
      <w:r w:rsidR="00204F9E">
        <w:rPr>
          <w:rFonts w:asciiTheme="minorHAnsi" w:eastAsia="Times New Roman" w:hAnsiTheme="minorHAnsi" w:cstheme="minorHAnsi"/>
          <w:lang w:val="pl-PL"/>
        </w:rPr>
        <w:t>ej</w:t>
      </w:r>
      <w:r w:rsidRPr="005F2EDB">
        <w:rPr>
          <w:rFonts w:asciiTheme="minorHAnsi" w:eastAsia="Times New Roman" w:hAnsiTheme="minorHAnsi" w:cstheme="minorHAnsi"/>
          <w:lang w:val="pl-PL"/>
        </w:rPr>
        <w:t xml:space="preserve"> przebudow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/rozbudow</w:t>
      </w:r>
      <w:r w:rsidR="00204F9E">
        <w:rPr>
          <w:rFonts w:asciiTheme="minorHAnsi" w:eastAsia="Times New Roman" w:hAnsiTheme="minorHAnsi" w:cstheme="minorHAnsi"/>
          <w:lang w:val="pl-PL"/>
        </w:rPr>
        <w:t>ie</w:t>
      </w:r>
      <w:r>
        <w:rPr>
          <w:rFonts w:asciiTheme="minorHAnsi" w:eastAsia="Times New Roman" w:hAnsiTheme="minorHAnsi" w:cstheme="minorHAnsi"/>
          <w:lang w:val="pl-PL"/>
        </w:rPr>
        <w:t xml:space="preserve"> </w:t>
      </w:r>
      <w:r w:rsidRPr="005F2EDB">
        <w:rPr>
          <w:rFonts w:asciiTheme="minorHAnsi" w:eastAsia="Times New Roman" w:hAnsiTheme="minorHAnsi" w:cstheme="minorHAnsi"/>
          <w:lang w:val="pl-PL"/>
        </w:rPr>
        <w:t>skrzyżowań z drogami bocznymi;</w:t>
      </w:r>
    </w:p>
    <w:p w14:paraId="579FEB69" w14:textId="495309C6"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przebudow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 xml:space="preserve"> i 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 xml:space="preserve"> zjazdów, przy czym zjazd na działkę nr 257/4 zlokalizowany w km 0+424,82 </w:t>
      </w:r>
      <w:r>
        <w:rPr>
          <w:rFonts w:asciiTheme="minorHAnsi" w:eastAsia="Times New Roman" w:hAnsiTheme="minorHAnsi" w:cstheme="minorHAnsi"/>
          <w:lang w:val="pl-PL"/>
        </w:rPr>
        <w:t xml:space="preserve">należy </w:t>
      </w:r>
      <w:r w:rsidRPr="005F2EDB">
        <w:rPr>
          <w:rFonts w:asciiTheme="minorHAnsi" w:eastAsia="Times New Roman" w:hAnsiTheme="minorHAnsi" w:cstheme="minorHAnsi"/>
          <w:lang w:val="pl-PL"/>
        </w:rPr>
        <w:t>wykonać zgodnie z odrębnym opracowaniem w km 0+380,37;</w:t>
      </w:r>
    </w:p>
    <w:p w14:paraId="2D16FC1A" w14:textId="5492E194"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przebudow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 xml:space="preserve"> oświetlenia drogowego oraz odwodnienia (m.in. rowy i kanalizacja deszczowa);</w:t>
      </w:r>
    </w:p>
    <w:p w14:paraId="65D24CEE" w14:textId="085A6B3B"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przebudow</w:t>
      </w:r>
      <w:r w:rsidR="00204F9E">
        <w:rPr>
          <w:rFonts w:asciiTheme="minorHAnsi" w:eastAsia="Times New Roman" w:hAnsiTheme="minorHAnsi" w:cstheme="minorHAnsi"/>
          <w:lang w:val="pl-PL"/>
        </w:rPr>
        <w:t>ie</w:t>
      </w:r>
      <w:r w:rsidRPr="005F2EDB">
        <w:rPr>
          <w:rFonts w:asciiTheme="minorHAnsi" w:eastAsia="Times New Roman" w:hAnsiTheme="minorHAnsi" w:cstheme="minorHAnsi"/>
          <w:lang w:val="pl-PL"/>
        </w:rPr>
        <w:t>/budow</w:t>
      </w:r>
      <w:r w:rsidR="00204F9E">
        <w:rPr>
          <w:rFonts w:asciiTheme="minorHAnsi" w:eastAsia="Times New Roman" w:hAnsiTheme="minorHAnsi" w:cstheme="minorHAnsi"/>
          <w:lang w:val="pl-PL"/>
        </w:rPr>
        <w:t xml:space="preserve">ie </w:t>
      </w:r>
      <w:r w:rsidRPr="005F2EDB">
        <w:rPr>
          <w:rFonts w:asciiTheme="minorHAnsi" w:eastAsia="Times New Roman" w:hAnsiTheme="minorHAnsi" w:cstheme="minorHAnsi"/>
          <w:lang w:val="pl-PL"/>
        </w:rPr>
        <w:t>infrastruktury technicznej nie związanej z drogą, w związku z kolizjami;</w:t>
      </w:r>
    </w:p>
    <w:p w14:paraId="4FDE3E58" w14:textId="0FD07633"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niezbędne</w:t>
      </w:r>
      <w:r w:rsidR="00204F9E">
        <w:rPr>
          <w:rFonts w:asciiTheme="minorHAnsi" w:eastAsia="Times New Roman" w:hAnsiTheme="minorHAnsi" w:cstheme="minorHAnsi"/>
          <w:lang w:val="pl-PL"/>
        </w:rPr>
        <w:t>j</w:t>
      </w:r>
      <w:r w:rsidRPr="005F2EDB">
        <w:rPr>
          <w:rFonts w:asciiTheme="minorHAnsi" w:eastAsia="Times New Roman" w:hAnsiTheme="minorHAnsi" w:cstheme="minorHAnsi"/>
          <w:lang w:val="pl-PL"/>
        </w:rPr>
        <w:t xml:space="preserve"> rozbiórki (np. ogrodzeń i innych elementów);</w:t>
      </w:r>
    </w:p>
    <w:p w14:paraId="1C0AA7CA" w14:textId="4BEBB667" w:rsidR="005F2EDB" w:rsidRPr="005F2EDB" w:rsidRDefault="005F2EDB" w:rsidP="005F2EDB">
      <w:pPr>
        <w:spacing w:line="319" w:lineRule="auto"/>
        <w:rPr>
          <w:rFonts w:asciiTheme="minorHAnsi" w:eastAsia="Times New Roman" w:hAnsiTheme="minorHAnsi" w:cstheme="minorHAnsi"/>
          <w:lang w:val="pl-PL"/>
        </w:rPr>
      </w:pPr>
      <w:r w:rsidRPr="005F2EDB">
        <w:rPr>
          <w:rFonts w:asciiTheme="minorHAnsi" w:eastAsia="Times New Roman" w:hAnsiTheme="minorHAnsi" w:cstheme="minorHAnsi"/>
          <w:lang w:val="pl-PL"/>
        </w:rPr>
        <w:t>- wycin</w:t>
      </w:r>
      <w:r w:rsidR="00204F9E">
        <w:rPr>
          <w:rFonts w:asciiTheme="minorHAnsi" w:eastAsia="Times New Roman" w:hAnsiTheme="minorHAnsi" w:cstheme="minorHAnsi"/>
          <w:lang w:val="pl-PL"/>
        </w:rPr>
        <w:t>ce</w:t>
      </w:r>
      <w:r w:rsidRPr="005F2EDB">
        <w:rPr>
          <w:rFonts w:asciiTheme="minorHAnsi" w:eastAsia="Times New Roman" w:hAnsiTheme="minorHAnsi" w:cstheme="minorHAnsi"/>
          <w:lang w:val="pl-PL"/>
        </w:rPr>
        <w:t xml:space="preserve"> zieleni kolidującej;</w:t>
      </w:r>
    </w:p>
    <w:p w14:paraId="5FD3A07C" w14:textId="15F5FA5F" w:rsidR="005F2EDB" w:rsidRPr="005F2EDB" w:rsidRDefault="005F2EDB" w:rsidP="005F2EDB">
      <w:pPr>
        <w:spacing w:line="319" w:lineRule="auto"/>
        <w:jc w:val="both"/>
        <w:rPr>
          <w:rFonts w:asciiTheme="minorHAnsi" w:eastAsia="Times New Roman" w:hAnsiTheme="minorHAnsi" w:cstheme="minorHAnsi"/>
          <w:lang w:val="pl-PL"/>
        </w:rPr>
      </w:pPr>
      <w:r w:rsidRPr="005F2EDB">
        <w:rPr>
          <w:rFonts w:asciiTheme="minorHAnsi" w:eastAsia="Times New Roman" w:hAnsiTheme="minorHAnsi" w:cstheme="minorHAnsi"/>
          <w:lang w:val="pl-PL"/>
        </w:rPr>
        <w:t>- wykonani</w:t>
      </w:r>
      <w:r w:rsidR="00204F9E">
        <w:rPr>
          <w:rFonts w:asciiTheme="minorHAnsi" w:eastAsia="Times New Roman" w:hAnsiTheme="minorHAnsi" w:cstheme="minorHAnsi"/>
          <w:lang w:val="pl-PL"/>
        </w:rPr>
        <w:t>u</w:t>
      </w:r>
      <w:r w:rsidRPr="005F2EDB">
        <w:rPr>
          <w:rFonts w:asciiTheme="minorHAnsi" w:eastAsia="Times New Roman" w:hAnsiTheme="minorHAnsi" w:cstheme="minorHAnsi"/>
          <w:lang w:val="pl-PL"/>
        </w:rPr>
        <w:t xml:space="preserve"> nasadzeń drzew i krzewów. </w:t>
      </w: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1"/>
    <w:bookmarkEnd w:id="12"/>
    <w:p w14:paraId="333CD2E8" w14:textId="468DC920"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lastRenderedPageBreak/>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904D53" w:rsidRPr="00931D79">
        <w:rPr>
          <w:rFonts w:asciiTheme="minorHAnsi" w:eastAsia="Times New Roman" w:hAnsiTheme="minorHAnsi" w:cstheme="minorHAnsi"/>
          <w:color w:val="000000"/>
        </w:rPr>
        <w:t>, specyfikacja techniczna wykonania i odbioru robót</w:t>
      </w:r>
      <w:r w:rsidR="00904D53">
        <w:rPr>
          <w:rFonts w:asciiTheme="minorHAnsi" w:eastAsia="Times New Roman" w:hAnsiTheme="minorHAnsi" w:cstheme="minorHAnsi"/>
          <w:color w:val="000000"/>
        </w:rPr>
        <w:t>.</w:t>
      </w:r>
    </w:p>
    <w:p w14:paraId="689D315B" w14:textId="42F09F2C"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5F2EDB">
        <w:rPr>
          <w:rFonts w:asciiTheme="minorHAnsi" w:eastAsia="Times New Roman" w:hAnsiTheme="minorHAnsi" w:cstheme="minorHAnsi"/>
          <w:color w:val="000000"/>
        </w:rPr>
        <w:t>e</w:t>
      </w:r>
      <w:r w:rsidRPr="00931D79">
        <w:rPr>
          <w:rFonts w:asciiTheme="minorHAnsi" w:eastAsia="Times New Roman" w:hAnsiTheme="minorHAnsi" w:cstheme="minorHAnsi"/>
          <w:color w:val="000000"/>
        </w:rPr>
        <w:t xml:space="preserve"> do SWZ Przedmiar</w:t>
      </w:r>
      <w:r w:rsidR="00470C64">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robót </w:t>
      </w:r>
      <w:r w:rsidR="005F2EDB">
        <w:rPr>
          <w:rFonts w:asciiTheme="minorHAnsi" w:eastAsia="Times New Roman" w:hAnsiTheme="minorHAnsi" w:cstheme="minorHAnsi"/>
          <w:color w:val="000000"/>
        </w:rPr>
        <w:t xml:space="preserve">oraz kosztorysy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470C64">
        <w:rPr>
          <w:rFonts w:asciiTheme="minorHAnsi" w:hAnsiTheme="minorHAnsi" w:cstheme="minorHAnsi"/>
          <w:lang w:eastAsia="ar-SA"/>
        </w:rPr>
        <w:t xml:space="preserve">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6C0AFC39" w14:textId="1752644A" w:rsidR="00470C64" w:rsidRPr="00470C64" w:rsidRDefault="00470C64" w:rsidP="00470C64">
      <w:pPr>
        <w:spacing w:line="240" w:lineRule="auto"/>
        <w:jc w:val="both"/>
        <w:rPr>
          <w:rFonts w:asciiTheme="minorHAnsi" w:eastAsia="Times New Roman" w:hAnsiTheme="minorHAnsi" w:cstheme="minorHAnsi"/>
          <w:lang w:val="pl-PL"/>
        </w:rPr>
      </w:pPr>
      <w:r>
        <w:rPr>
          <w:rFonts w:asciiTheme="minorHAnsi" w:eastAsia="Times New Roman" w:hAnsiTheme="minorHAnsi" w:cstheme="minorHAnsi"/>
          <w:sz w:val="24"/>
          <w:szCs w:val="24"/>
          <w:lang w:val="pl-PL"/>
        </w:rPr>
        <w:t xml:space="preserve">    </w:t>
      </w:r>
      <w:r w:rsidRPr="00470C64">
        <w:rPr>
          <w:rFonts w:asciiTheme="minorHAnsi" w:eastAsia="Times New Roman" w:hAnsiTheme="minorHAnsi" w:cstheme="minorHAnsi"/>
          <w:lang w:val="pl-PL"/>
        </w:rPr>
        <w:t xml:space="preserve">45100000-8 </w:t>
      </w:r>
      <w:r w:rsidRPr="00470C64">
        <w:rPr>
          <w:rFonts w:asciiTheme="minorHAnsi" w:eastAsiaTheme="minorHAnsi" w:hAnsiTheme="minorHAnsi" w:cstheme="minorHAnsi"/>
          <w:kern w:val="3"/>
          <w:lang w:val="pl-PL" w:eastAsia="en-US"/>
        </w:rPr>
        <w:t>Przygotowanie terenu pod budowę</w:t>
      </w:r>
    </w:p>
    <w:p w14:paraId="7C7B02C0"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45111200-0 Roboty </w:t>
      </w:r>
      <w:r w:rsidRPr="00470C64">
        <w:rPr>
          <w:rFonts w:asciiTheme="minorHAnsi" w:eastAsiaTheme="minorHAnsi" w:hAnsiTheme="minorHAnsi" w:cstheme="minorHAnsi"/>
          <w:kern w:val="3"/>
          <w:lang w:val="pl-PL" w:eastAsia="en-US"/>
        </w:rPr>
        <w:t>w zakresie przygotowania terenu pod budowę i roboty ziemne</w:t>
      </w:r>
    </w:p>
    <w:p w14:paraId="16257D42"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45233120-6 Roboty w zakresie budowy dróg</w:t>
      </w:r>
    </w:p>
    <w:p w14:paraId="37430A0B"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45112210-0 Roboty w zakresie usuwania wierzchniej warstwy gleby</w:t>
      </w:r>
    </w:p>
    <w:p w14:paraId="21E52343" w14:textId="77777777" w:rsidR="00470C64" w:rsidRPr="00470C64" w:rsidRDefault="00470C64" w:rsidP="00470C64">
      <w:pPr>
        <w:spacing w:line="240" w:lineRule="auto"/>
        <w:ind w:left="284" w:hanging="284"/>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45233000-9 </w:t>
      </w:r>
      <w:r w:rsidRPr="00470C64">
        <w:rPr>
          <w:rFonts w:asciiTheme="minorHAnsi" w:eastAsiaTheme="minorHAnsi" w:hAnsiTheme="minorHAnsi" w:cstheme="minorHAnsi"/>
          <w:bCs/>
          <w:kern w:val="3"/>
          <w:lang w:val="pl-PL" w:eastAsia="en-US"/>
        </w:rPr>
        <w:t>Roboty w zakresie konstruowania, fundamentowania oraz wykonywania nawierzchni autostrad, dróg</w:t>
      </w:r>
    </w:p>
    <w:p w14:paraId="6E867DF4"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44132000-4 Elementy przepustów</w:t>
      </w:r>
    </w:p>
    <w:p w14:paraId="389AF7D2" w14:textId="77777777" w:rsidR="00470C64" w:rsidRPr="00470C64" w:rsidRDefault="00470C64" w:rsidP="00470C64">
      <w:pPr>
        <w:spacing w:line="240" w:lineRule="auto"/>
        <w:ind w:left="142" w:hanging="142"/>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45231300-8 </w:t>
      </w:r>
      <w:r w:rsidRPr="00470C64">
        <w:rPr>
          <w:rFonts w:asciiTheme="minorHAnsi" w:eastAsiaTheme="minorHAnsi" w:hAnsiTheme="minorHAnsi" w:cstheme="minorHAnsi"/>
          <w:bCs/>
          <w:kern w:val="3"/>
          <w:lang w:val="pl-PL" w:eastAsia="en-US"/>
        </w:rPr>
        <w:t>Roboty budowlane w zakresie budowy wodociągów i rurociągów do odprowadzania ścieków</w:t>
      </w:r>
    </w:p>
    <w:p w14:paraId="2C2208A2" w14:textId="77777777" w:rsidR="00470C64" w:rsidRPr="00470C64" w:rsidRDefault="00470C64" w:rsidP="005D028B">
      <w:pPr>
        <w:spacing w:line="240" w:lineRule="auto"/>
        <w:ind w:left="284" w:hanging="284"/>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45230000-8 </w:t>
      </w:r>
      <w:r w:rsidRPr="00470C64">
        <w:rPr>
          <w:rFonts w:asciiTheme="minorHAnsi" w:eastAsiaTheme="minorHAnsi" w:hAnsiTheme="minorHAnsi" w:cstheme="minorHAnsi"/>
          <w:bCs/>
          <w:kern w:val="3"/>
          <w:lang w:val="pl-PL" w:eastAsia="en-US"/>
        </w:rPr>
        <w:t>Roboty budowlane w zakresie budowy rurociągów, linii komunikacyjnych i elektroenergetycznych, autostrad, dróg, lotnisk i kolei; wyrównywanie terenu</w:t>
      </w:r>
    </w:p>
    <w:p w14:paraId="30B2046C"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45231000-5 </w:t>
      </w:r>
      <w:r w:rsidRPr="00470C64">
        <w:rPr>
          <w:rFonts w:asciiTheme="minorHAnsi" w:eastAsiaTheme="minorHAnsi" w:hAnsiTheme="minorHAnsi" w:cstheme="minorHAnsi"/>
          <w:bCs/>
          <w:kern w:val="3"/>
          <w:lang w:val="pl-PL" w:eastAsia="en-US"/>
        </w:rPr>
        <w:t>Roboty budowlane w zakresie budowy rurociągów, ciągów komunikacyjnych i linii energetycznych</w:t>
      </w:r>
    </w:p>
    <w:p w14:paraId="38606758"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45232310-8 </w:t>
      </w:r>
      <w:r w:rsidRPr="00470C64">
        <w:rPr>
          <w:rFonts w:asciiTheme="minorHAnsi" w:eastAsiaTheme="minorHAnsi" w:hAnsiTheme="minorHAnsi" w:cstheme="minorHAnsi"/>
          <w:bCs/>
          <w:kern w:val="3"/>
          <w:lang w:val="pl-PL" w:eastAsia="en-US"/>
        </w:rPr>
        <w:t>Roboty budowlane w zakresie linii telefonicznych</w:t>
      </w:r>
    </w:p>
    <w:p w14:paraId="65697914"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b/>
          <w:lang w:val="pl-PL"/>
        </w:rPr>
        <w:t xml:space="preserve">    </w:t>
      </w:r>
      <w:r w:rsidRPr="00470C64">
        <w:rPr>
          <w:rFonts w:asciiTheme="minorHAnsi" w:eastAsia="Times New Roman" w:hAnsiTheme="minorHAnsi" w:cstheme="minorHAnsi"/>
          <w:lang w:val="pl-PL"/>
        </w:rPr>
        <w:t>45233252-0  Roboty w zakresie nawierzchni ulic</w:t>
      </w:r>
    </w:p>
    <w:p w14:paraId="1A56D381"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45233253-7  Roboty w zakresie nawierzchni dróg dla pieszych</w:t>
      </w:r>
    </w:p>
    <w:p w14:paraId="0FFCAA2C" w14:textId="77777777" w:rsidR="00470C64" w:rsidRPr="00470C64" w:rsidRDefault="00470C64" w:rsidP="00470C64">
      <w:pPr>
        <w:spacing w:line="240" w:lineRule="auto"/>
        <w:jc w:val="both"/>
        <w:rPr>
          <w:rFonts w:asciiTheme="minorHAnsi" w:eastAsia="Times New Roman" w:hAnsiTheme="minorHAnsi" w:cstheme="minorHAnsi"/>
          <w:lang w:val="pl-PL"/>
        </w:rPr>
      </w:pPr>
      <w:r w:rsidRPr="00470C64">
        <w:rPr>
          <w:rFonts w:asciiTheme="minorHAnsi" w:eastAsia="Times New Roman" w:hAnsiTheme="minorHAnsi" w:cstheme="minorHAnsi"/>
          <w:lang w:val="pl-PL"/>
        </w:rPr>
        <w:t xml:space="preserve">    45232130-2  Roboty budowlane w zakresie rurociągów do odprowadzenia wody burzowej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44849699"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53A68DF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A0BDC">
        <w:rPr>
          <w:rFonts w:asciiTheme="minorHAnsi" w:eastAsia="Times New Roman" w:hAnsiTheme="minorHAnsi" w:cstheme="minorHAnsi"/>
          <w:b/>
          <w:bCs/>
          <w:szCs w:val="24"/>
        </w:rPr>
        <w:t>84</w:t>
      </w:r>
      <w:r w:rsidRPr="00931D79">
        <w:rPr>
          <w:rFonts w:asciiTheme="minorHAnsi" w:eastAsia="Times New Roman" w:hAnsiTheme="minorHAnsi" w:cstheme="minorHAnsi"/>
          <w:b/>
          <w:bCs/>
          <w:szCs w:val="24"/>
        </w:rPr>
        <w:t xml:space="preserve"> miesi</w:t>
      </w:r>
      <w:r w:rsidR="00CA0BDC">
        <w:rPr>
          <w:rFonts w:asciiTheme="minorHAnsi" w:eastAsia="Times New Roman" w:hAnsiTheme="minorHAnsi" w:cstheme="minorHAnsi"/>
          <w:b/>
          <w:bCs/>
          <w:szCs w:val="24"/>
        </w:rPr>
        <w:t>ące</w:t>
      </w:r>
      <w:r w:rsidR="00344914">
        <w:rPr>
          <w:rFonts w:asciiTheme="minorHAnsi" w:eastAsia="Times New Roman" w:hAnsiTheme="minorHAnsi" w:cstheme="minorHAnsi"/>
          <w:b/>
          <w:bCs/>
          <w:szCs w:val="24"/>
        </w:rPr>
        <w:t>.</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37A01830"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6D0AB76"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lastRenderedPageBreak/>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35663018"/>
      <w:r w:rsidRPr="008870AA">
        <w:rPr>
          <w:rFonts w:asciiTheme="minorHAnsi" w:hAnsiTheme="minorHAnsi" w:cstheme="minorHAnsi"/>
          <w:b/>
          <w:bCs/>
          <w:sz w:val="24"/>
          <w:szCs w:val="24"/>
        </w:rPr>
        <w:t>V. Wizja lokalna</w:t>
      </w:r>
      <w:bookmarkEnd w:id="13"/>
    </w:p>
    <w:p w14:paraId="3885133F" w14:textId="77777777" w:rsidR="003F7166" w:rsidRDefault="003F7166" w:rsidP="003F7166">
      <w:pPr>
        <w:spacing w:line="319" w:lineRule="auto"/>
        <w:jc w:val="both"/>
        <w:rPr>
          <w:rFonts w:asciiTheme="minorHAnsi" w:hAnsiTheme="minorHAnsi" w:cstheme="minorHAnsi"/>
        </w:rPr>
      </w:pPr>
      <w:bookmarkStart w:id="14" w:name="_Toc135663019"/>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000000" w:rsidP="003F7166">
      <w:pPr>
        <w:spacing w:line="319" w:lineRule="auto"/>
        <w:jc w:val="both"/>
        <w:rPr>
          <w:rFonts w:asciiTheme="minorHAnsi" w:hAnsiTheme="minorHAnsi" w:cstheme="minorHAnsi"/>
        </w:rPr>
      </w:pPr>
      <w:hyperlink r:id="rId12"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6000F080" w:rsidR="00393083" w:rsidRPr="00393083" w:rsidRDefault="008870AA" w:rsidP="005D028B">
      <w:pPr>
        <w:widowControl w:val="0"/>
        <w:tabs>
          <w:tab w:val="left" w:pos="567"/>
        </w:tabs>
        <w:suppressAutoHyphens/>
        <w:autoSpaceDN w:val="0"/>
        <w:spacing w:line="319" w:lineRule="auto"/>
        <w:jc w:val="both"/>
        <w:textAlignment w:val="baseline"/>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5D028B">
        <w:rPr>
          <w:rFonts w:asciiTheme="minorHAnsi" w:hAnsiTheme="minorHAnsi" w:cstheme="minorHAnsi"/>
          <w:b/>
          <w:bCs/>
        </w:rPr>
        <w:t>29.11.2024r.</w:t>
      </w: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5"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5"/>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59D3D48" w14:textId="1892C955" w:rsidR="00A5165E" w:rsidRPr="00A5165E" w:rsidRDefault="00A5165E" w:rsidP="00A5165E">
      <w:pPr>
        <w:pStyle w:val="Akapitzlist"/>
        <w:numPr>
          <w:ilvl w:val="1"/>
          <w:numId w:val="14"/>
        </w:numPr>
        <w:jc w:val="both"/>
        <w:rPr>
          <w:rFonts w:eastAsia="Times New Roman" w:cs="Calibri"/>
          <w:b/>
          <w:bCs/>
          <w:sz w:val="20"/>
        </w:rPr>
      </w:pPr>
      <w:bookmarkStart w:id="17" w:name="_Hlk128573437"/>
      <w:bookmarkStart w:id="18" w:name="_Hlk140222384"/>
      <w:bookmarkStart w:id="19" w:name="_Hlk5877927"/>
      <w:bookmarkStart w:id="20" w:name="_Hlk118800681"/>
      <w:bookmarkStart w:id="21" w:name="_Hlk87001286"/>
      <w:bookmarkStart w:id="22" w:name="_Hlk87005844"/>
      <w:r>
        <w:lastRenderedPageBreak/>
        <w:t xml:space="preserve">Wykonawca spełni warunek jeżeli wykaże, że w okresie ostatnich 5 lat przed upływem terminu składania </w:t>
      </w:r>
      <w:r w:rsidRPr="00A5165E">
        <w:t xml:space="preserve">ofert, a jeżeli okres prowadzenia działalności jest krótszy – w tym okresie, </w:t>
      </w:r>
      <w:r w:rsidRPr="00A5165E">
        <w:rPr>
          <w:b/>
          <w:bCs/>
        </w:rPr>
        <w:t xml:space="preserve">należycie wykonał </w:t>
      </w:r>
      <w:r>
        <w:rPr>
          <w:b/>
          <w:bCs/>
        </w:rPr>
        <w:t xml:space="preserve">                                          </w:t>
      </w:r>
      <w:r w:rsidRPr="00A5165E">
        <w:rPr>
          <w:b/>
          <w:bCs/>
        </w:rPr>
        <w:t xml:space="preserve">co najmniej jedną robotę budowlaną (zrealizowaną w ramach jednej umowy) o wartości </w:t>
      </w:r>
      <w:r>
        <w:rPr>
          <w:b/>
          <w:bCs/>
        </w:rPr>
        <w:t xml:space="preserve">                                           </w:t>
      </w:r>
      <w:r w:rsidRPr="00A5165E">
        <w:rPr>
          <w:b/>
          <w:bCs/>
        </w:rPr>
        <w:t>co najmniej  3.</w:t>
      </w:r>
      <w:r w:rsidR="005D028B">
        <w:rPr>
          <w:b/>
          <w:bCs/>
        </w:rPr>
        <w:t>0</w:t>
      </w:r>
      <w:r w:rsidRPr="00A5165E">
        <w:rPr>
          <w:b/>
          <w:bCs/>
        </w:rPr>
        <w:t xml:space="preserve">00.000,00 zł brutto, obejmującą co najmniej budowę lub przebudowę drogi/dróg </w:t>
      </w:r>
      <w:r>
        <w:rPr>
          <w:b/>
          <w:bCs/>
        </w:rPr>
        <w:t xml:space="preserve">                             </w:t>
      </w:r>
      <w:r w:rsidR="005D028B">
        <w:rPr>
          <w:b/>
          <w:bCs/>
        </w:rPr>
        <w:t xml:space="preserve">lub drogi pieszo-rowerowej </w:t>
      </w:r>
      <w:r w:rsidRPr="00A5165E">
        <w:rPr>
          <w:b/>
          <w:bCs/>
        </w:rPr>
        <w:t xml:space="preserve">o łącznej długości min. </w:t>
      </w:r>
      <w:r w:rsidR="005D028B">
        <w:rPr>
          <w:b/>
          <w:bCs/>
        </w:rPr>
        <w:t>1.0</w:t>
      </w:r>
      <w:r w:rsidRPr="00A5165E">
        <w:rPr>
          <w:b/>
          <w:bCs/>
        </w:rPr>
        <w:t xml:space="preserve">00,00 </w:t>
      </w:r>
      <w:proofErr w:type="spellStart"/>
      <w:r w:rsidRPr="00A5165E">
        <w:rPr>
          <w:b/>
          <w:bCs/>
        </w:rPr>
        <w:t>mb</w:t>
      </w:r>
      <w:proofErr w:type="spellEnd"/>
      <w:r w:rsidRPr="00A5165E">
        <w:rPr>
          <w:b/>
          <w:bCs/>
        </w:rPr>
        <w:t xml:space="preserve"> o nawierzchni z kostki brukowej lub masy asfaltowej wraz </w:t>
      </w:r>
      <w:r>
        <w:rPr>
          <w:b/>
          <w:bCs/>
        </w:rPr>
        <w:t xml:space="preserve"> </w:t>
      </w:r>
      <w:r w:rsidRPr="00A5165E">
        <w:rPr>
          <w:b/>
          <w:bCs/>
        </w:rPr>
        <w:t xml:space="preserve">z kanalizacją deszczową lub sanitarną o łącznej dł. min. </w:t>
      </w:r>
      <w:r w:rsidR="005D028B">
        <w:rPr>
          <w:b/>
          <w:bCs/>
        </w:rPr>
        <w:t>5</w:t>
      </w:r>
      <w:r w:rsidRPr="00A5165E">
        <w:rPr>
          <w:b/>
          <w:bCs/>
        </w:rPr>
        <w:t xml:space="preserve">00 </w:t>
      </w:r>
      <w:proofErr w:type="spellStart"/>
      <w:r w:rsidRPr="00A5165E">
        <w:rPr>
          <w:b/>
          <w:bCs/>
        </w:rPr>
        <w:t>mb</w:t>
      </w:r>
      <w:proofErr w:type="spellEnd"/>
      <w:r w:rsidRPr="00A5165E">
        <w:rPr>
          <w:b/>
          <w:bCs/>
        </w:rPr>
        <w:t>.</w:t>
      </w:r>
    </w:p>
    <w:p w14:paraId="4EC28E57" w14:textId="77777777" w:rsidR="0020436A" w:rsidRDefault="0020436A" w:rsidP="004467CF">
      <w:pPr>
        <w:pStyle w:val="Akapitzlist"/>
        <w:spacing w:after="0" w:line="312" w:lineRule="auto"/>
        <w:ind w:left="454"/>
        <w:jc w:val="both"/>
      </w:pPr>
    </w:p>
    <w:bookmarkEnd w:id="17"/>
    <w:p w14:paraId="12827913" w14:textId="1BA1778F"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18"/>
    <w:p w14:paraId="75B11206" w14:textId="77777777" w:rsidR="00A63219" w:rsidRPr="000768E5" w:rsidRDefault="00A63219"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3"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3"/>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77777777" w:rsidR="00A5165E" w:rsidRDefault="00A5165E" w:rsidP="00A5165E">
      <w:pPr>
        <w:pStyle w:val="Akapitzlist"/>
        <w:spacing w:after="0" w:line="312" w:lineRule="auto"/>
        <w:ind w:left="454"/>
        <w:jc w:val="both"/>
        <w:rPr>
          <w:rFonts w:eastAsia="Times New Roman" w:cs="Calibri"/>
          <w:b/>
          <w:bCs/>
          <w:sz w:val="20"/>
        </w:rPr>
      </w:pPr>
      <w:r>
        <w:t xml:space="preserve">- </w:t>
      </w:r>
      <w:r>
        <w:rPr>
          <w:b/>
          <w:bCs/>
        </w:rPr>
        <w:t>kierownikiem budowy - min. jedna osoba posiadająca wymagane uprawnienia budowlane w specjalności inżynieryjnej drogowej,</w:t>
      </w:r>
    </w:p>
    <w:p w14:paraId="3D0BDEDB" w14:textId="093DA3AB" w:rsidR="00A5165E" w:rsidRDefault="00A5165E" w:rsidP="00A5165E">
      <w:pPr>
        <w:pStyle w:val="Akapitzlist"/>
        <w:spacing w:after="0" w:line="312" w:lineRule="auto"/>
        <w:ind w:left="454"/>
        <w:jc w:val="both"/>
        <w:rPr>
          <w:b/>
          <w:bCs/>
        </w:rPr>
      </w:pPr>
      <w:r>
        <w:rPr>
          <w:b/>
          <w:bCs/>
        </w:rPr>
        <w:t>- kierownikiem robót - min. jedna osoba posiadająca wymagane uprawnienia budowlane w specjalności instalacyjnej w zakresie sieci, instalacji i urządzeń cieplnych, wentylacyjnych, gazowych, wodociągowych i kanalizacyjnych.</w:t>
      </w:r>
    </w:p>
    <w:p w14:paraId="7B557CE5" w14:textId="77777777" w:rsidR="00A44357" w:rsidRPr="00931D79" w:rsidRDefault="00A44357" w:rsidP="00A44357">
      <w:pPr>
        <w:pStyle w:val="Akapitzlist"/>
        <w:spacing w:after="0" w:line="319" w:lineRule="auto"/>
        <w:ind w:left="454"/>
        <w:jc w:val="both"/>
        <w:rPr>
          <w:rFonts w:asciiTheme="minorHAnsi" w:eastAsia="Times New Roman" w:hAnsiTheme="minorHAnsi" w:cstheme="minorHAnsi"/>
        </w:rPr>
      </w:pPr>
    </w:p>
    <w:bookmarkEnd w:id="16"/>
    <w:bookmarkEnd w:id="20"/>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w:t>
      </w:r>
      <w:r w:rsidRPr="00B32DB1">
        <w:rPr>
          <w:rFonts w:asciiTheme="minorHAnsi" w:eastAsia="Times New Roman" w:hAnsiTheme="minorHAnsi" w:cstheme="minorHAnsi"/>
        </w:rPr>
        <w:lastRenderedPageBreak/>
        <w:t>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4" w:name="_Hlk53567073"/>
    </w:p>
    <w:bookmarkEnd w:id="24"/>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Pr="00B32DB1"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bookmarkEnd w:id="22"/>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5" w:name="_Toc135663021"/>
      <w:r w:rsidRPr="008870AA">
        <w:rPr>
          <w:rFonts w:asciiTheme="minorHAnsi" w:hAnsiTheme="minorHAnsi" w:cstheme="minorHAnsi"/>
          <w:b/>
          <w:bCs/>
          <w:sz w:val="24"/>
          <w:szCs w:val="24"/>
        </w:rPr>
        <w:t>IX. Podstawy wykluczenia z postępowania</w:t>
      </w:r>
      <w:bookmarkEnd w:id="25"/>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2D73F4E1"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2BDCF37D"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Dz. U. z 202</w:t>
      </w:r>
      <w:r w:rsidR="00720A18">
        <w:rPr>
          <w:rFonts w:asciiTheme="minorHAnsi" w:hAnsiTheme="minorHAnsi" w:cstheme="minorHAnsi"/>
        </w:rPr>
        <w:t>3</w:t>
      </w:r>
      <w:r w:rsidR="00640FE1" w:rsidRPr="00BA106D">
        <w:rPr>
          <w:rFonts w:asciiTheme="minorHAnsi" w:hAnsiTheme="minorHAnsi" w:cstheme="minorHAnsi"/>
        </w:rPr>
        <w:t xml:space="preserve"> r. poz. </w:t>
      </w:r>
      <w:r w:rsidR="00720A18">
        <w:rPr>
          <w:rFonts w:asciiTheme="minorHAnsi" w:hAnsiTheme="minorHAnsi" w:cstheme="minorHAnsi"/>
        </w:rPr>
        <w:t>1124</w:t>
      </w:r>
      <w:r w:rsidR="00640FE1" w:rsidRPr="00BA106D">
        <w:rPr>
          <w:rFonts w:asciiTheme="minorHAnsi" w:hAnsiTheme="minorHAnsi" w:cstheme="minorHAnsi"/>
        </w:rPr>
        <w:t xml:space="preserve">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6"/>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 xml:space="preserve">grudnia 2020 r. w sprawie sposobu sporządzania i przekazywania informacji oraz wymagań technicznych </w:t>
      </w:r>
      <w:r w:rsidRPr="008870AA">
        <w:rPr>
          <w:rFonts w:asciiTheme="minorHAnsi" w:hAnsiTheme="minorHAnsi" w:cstheme="minorHAnsi"/>
        </w:rPr>
        <w:lastRenderedPageBreak/>
        <w:t>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7" w:name="_Toc135663023"/>
      <w:r w:rsidRPr="008870AA">
        <w:rPr>
          <w:rFonts w:asciiTheme="minorHAnsi" w:hAnsiTheme="minorHAnsi" w:cstheme="minorHAnsi"/>
          <w:b/>
          <w:bCs/>
          <w:sz w:val="22"/>
          <w:szCs w:val="22"/>
        </w:rPr>
        <w:t>XI. Poleganie na zasobach innych podmiotów</w:t>
      </w:r>
      <w:bookmarkEnd w:id="27"/>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8" w:name="_Hlk65499459"/>
      <w:r w:rsidRPr="008870AA">
        <w:rPr>
          <w:rFonts w:asciiTheme="minorHAnsi" w:hAnsiTheme="minorHAnsi" w:cstheme="minorHAnsi"/>
        </w:rPr>
        <w:t xml:space="preserve">Wykonawca powołuje się na jego zasoby, </w:t>
      </w:r>
      <w:bookmarkEnd w:id="28"/>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9"/>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Wykonawców wspólnie ubiegających się o udzielenie zamówienia, oświadczenia, o których mowa w Rozdziale X ust. 1 SWZ, składa każdy z Wykonawców. Oświadczenia te potwierdzają brak podstaw </w:t>
      </w:r>
      <w:r w:rsidRPr="008870AA">
        <w:rPr>
          <w:rFonts w:asciiTheme="minorHAnsi" w:hAnsiTheme="minorHAnsi" w:cstheme="minorHAnsi"/>
        </w:rPr>
        <w:lastRenderedPageBreak/>
        <w:t>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0" w:name="_Hlk63772459"/>
      <w:r w:rsidRPr="008870AA">
        <w:rPr>
          <w:rFonts w:asciiTheme="minorHAnsi" w:hAnsiTheme="minorHAnsi" w:cstheme="minorHAnsi"/>
        </w:rPr>
        <w:t xml:space="preserve">Wykonawcy wspólnie ubiegający się o udzielenie zamówienia dołączają do oferty </w:t>
      </w:r>
      <w:bookmarkStart w:id="31"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0"/>
    <w:bookmarkEnd w:id="31"/>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Toc135663025"/>
      <w:bookmarkStart w:id="33"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2"/>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4"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5"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5"/>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8870AA">
        <w:rPr>
          <w:rFonts w:asciiTheme="minorHAnsi" w:hAnsiTheme="minorHAnsi" w:cstheme="minorHAnsi"/>
        </w:rPr>
        <w:lastRenderedPageBreak/>
        <w:t>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6"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6"/>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4"/>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7" w:name="_Toc135663026"/>
      <w:bookmarkStart w:id="38" w:name="_Hlk66110879"/>
      <w:r w:rsidRPr="008870AA">
        <w:rPr>
          <w:rFonts w:asciiTheme="minorHAnsi" w:hAnsiTheme="minorHAnsi" w:cstheme="minorHAnsi"/>
          <w:b/>
          <w:bCs/>
          <w:sz w:val="24"/>
          <w:szCs w:val="24"/>
        </w:rPr>
        <w:t>XIV. Opis sposobu przygotowania ofert oraz dokumentów wymaganych przez Zamawiającego w SWZ</w:t>
      </w:r>
      <w:bookmarkEnd w:id="37"/>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spełnianiu warunków udziału w postepowaniu – wzór oświadczenia stanowi załącznik nr 3 do SWZ. W przypadku wspólnego ubiegania się o zamówienie przez </w:t>
      </w:r>
      <w:r w:rsidRPr="006506A6">
        <w:rPr>
          <w:rFonts w:asciiTheme="minorHAnsi" w:hAnsiTheme="minorHAnsi" w:cstheme="minorHAnsi"/>
        </w:rPr>
        <w:lastRenderedPageBreak/>
        <w:t>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9" w:name="_Hlk65238743"/>
      <w:r w:rsidRPr="006506A6">
        <w:rPr>
          <w:rFonts w:asciiTheme="minorHAnsi" w:hAnsiTheme="minorHAnsi" w:cstheme="minorHAnsi"/>
        </w:rPr>
        <w:t xml:space="preserve">oświadczenie o niepodleganiu wykluczeniu składa </w:t>
      </w:r>
      <w:bookmarkEnd w:id="39"/>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0"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8"/>
    <w:bookmarkEnd w:id="40"/>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1" w:name="_Hlk80957306"/>
      <w:r w:rsidRPr="008870AA">
        <w:rPr>
          <w:rFonts w:asciiTheme="minorHAnsi" w:hAnsiTheme="minorHAnsi" w:cstheme="minorHAnsi"/>
        </w:rPr>
        <w:t>muszą zostać podpisane elektronicznym kwalifikowanym podpisem lub podpisem zaufanym lub podpisem osobistym</w:t>
      </w:r>
      <w:bookmarkEnd w:id="41"/>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w:t>
      </w:r>
      <w:r w:rsidRPr="008870AA">
        <w:rPr>
          <w:rFonts w:asciiTheme="minorHAnsi" w:hAnsiTheme="minorHAnsi" w:cstheme="minorHAnsi"/>
        </w:rPr>
        <w:lastRenderedPageBreak/>
        <w:t>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2" w:name="_Toc135663027"/>
      <w:bookmarkEnd w:id="33"/>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2"/>
    </w:p>
    <w:p w14:paraId="51F8F9FC" w14:textId="23538596" w:rsidR="00E80DC0" w:rsidRDefault="008870AA" w:rsidP="00542246">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542246">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lastRenderedPageBreak/>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3"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4"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4"/>
    </w:p>
    <w:bookmarkEnd w:id="43"/>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D98A690"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542246">
        <w:rPr>
          <w:rFonts w:asciiTheme="minorHAnsi" w:hAnsiTheme="minorHAnsi" w:cstheme="minorHAnsi"/>
        </w:rPr>
        <w:t>3</w:t>
      </w:r>
      <w:r w:rsidRPr="008870AA">
        <w:rPr>
          <w:rFonts w:asciiTheme="minorHAnsi" w:hAnsiTheme="minorHAnsi" w:cstheme="minorHAnsi"/>
        </w:rPr>
        <w:t xml:space="preserve"> r., poz. </w:t>
      </w:r>
      <w:r w:rsidR="00542246">
        <w:rPr>
          <w:rFonts w:asciiTheme="minorHAnsi" w:hAnsiTheme="minorHAnsi" w:cstheme="minorHAnsi"/>
        </w:rPr>
        <w:t>1570</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5"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5"/>
    </w:p>
    <w:p w14:paraId="5A3A178C" w14:textId="289F524B" w:rsidR="00361462" w:rsidRPr="003B0BF4"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sidR="00F42A97">
        <w:rPr>
          <w:rFonts w:asciiTheme="minorHAnsi" w:hAnsiTheme="minorHAnsi" w:cstheme="minorHAnsi"/>
          <w:b/>
          <w:bCs/>
        </w:rPr>
        <w:t>8</w:t>
      </w:r>
      <w:r>
        <w:rPr>
          <w:rFonts w:asciiTheme="minorHAnsi" w:hAnsiTheme="minorHAnsi" w:cstheme="minorHAnsi"/>
          <w:b/>
          <w:bCs/>
        </w:rPr>
        <w:t>0</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26BDED0D"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273836">
        <w:rPr>
          <w:rFonts w:asciiTheme="minorHAnsi" w:hAnsiTheme="minorHAnsi" w:cstheme="minorHAnsi"/>
          <w:b/>
          <w:bCs/>
        </w:rPr>
        <w:t>2</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273836">
        <w:rPr>
          <w:rFonts w:asciiTheme="minorHAnsi" w:hAnsiTheme="minorHAnsi" w:cstheme="minorHAnsi"/>
          <w:b/>
          <w:bCs/>
        </w:rPr>
        <w:t>ścieżka pieszo-rowerowa Palędzie Gołuski”</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lastRenderedPageBreak/>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35663029"/>
      <w:r w:rsidRPr="008870AA">
        <w:rPr>
          <w:rFonts w:asciiTheme="minorHAnsi" w:hAnsiTheme="minorHAnsi" w:cstheme="minorHAnsi"/>
          <w:b/>
          <w:bCs/>
          <w:sz w:val="22"/>
          <w:szCs w:val="22"/>
        </w:rPr>
        <w:lastRenderedPageBreak/>
        <w:t>XVII. Termin związania ofertą</w:t>
      </w:r>
      <w:bookmarkEnd w:id="46"/>
    </w:p>
    <w:p w14:paraId="68E3EA92" w14:textId="0BFF87B9"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1505A7">
        <w:rPr>
          <w:rFonts w:asciiTheme="minorHAnsi" w:hAnsiTheme="minorHAnsi" w:cstheme="minorHAnsi"/>
          <w:b/>
          <w:bCs/>
          <w:highlight w:val="yellow"/>
        </w:rPr>
        <w:t>04</w:t>
      </w:r>
      <w:r w:rsidRPr="008870AA">
        <w:rPr>
          <w:rFonts w:asciiTheme="minorHAnsi" w:hAnsiTheme="minorHAnsi" w:cstheme="minorHAnsi"/>
          <w:b/>
          <w:bCs/>
          <w:highlight w:val="yellow"/>
        </w:rPr>
        <w:t>.</w:t>
      </w:r>
      <w:r w:rsidR="001505A7">
        <w:rPr>
          <w:rFonts w:asciiTheme="minorHAnsi" w:hAnsiTheme="minorHAnsi" w:cstheme="minorHAnsi"/>
          <w:b/>
          <w:bCs/>
          <w:highlight w:val="yellow"/>
        </w:rPr>
        <w:t>04</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7"/>
    </w:p>
    <w:p w14:paraId="31387002" w14:textId="4071D121"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9735D">
        <w:rPr>
          <w:rFonts w:asciiTheme="minorHAnsi" w:hAnsiTheme="minorHAnsi" w:cstheme="minorHAnsi"/>
          <w:b/>
          <w:bCs/>
          <w:highlight w:val="yellow"/>
        </w:rPr>
        <w:t>06</w:t>
      </w:r>
      <w:r w:rsidRPr="008870AA">
        <w:rPr>
          <w:rFonts w:asciiTheme="minorHAnsi" w:hAnsiTheme="minorHAnsi" w:cstheme="minorHAnsi"/>
          <w:b/>
          <w:bCs/>
          <w:highlight w:val="yellow"/>
        </w:rPr>
        <w:t>.</w:t>
      </w:r>
      <w:r w:rsidR="0032777E">
        <w:rPr>
          <w:rFonts w:asciiTheme="minorHAnsi" w:hAnsiTheme="minorHAnsi" w:cstheme="minorHAnsi"/>
          <w:b/>
          <w:bCs/>
          <w:highlight w:val="yellow"/>
        </w:rPr>
        <w:t>03</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2777E">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135663031"/>
      <w:r w:rsidRPr="008870AA">
        <w:rPr>
          <w:rFonts w:asciiTheme="minorHAnsi" w:hAnsiTheme="minorHAnsi" w:cstheme="minorHAnsi"/>
          <w:b/>
          <w:bCs/>
          <w:sz w:val="22"/>
          <w:szCs w:val="22"/>
        </w:rPr>
        <w:t>XIX. Otwarcie ofert</w:t>
      </w:r>
      <w:bookmarkEnd w:id="48"/>
    </w:p>
    <w:p w14:paraId="792AD29B" w14:textId="161A5668"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9735D">
        <w:rPr>
          <w:rFonts w:asciiTheme="minorHAnsi" w:hAnsiTheme="minorHAnsi" w:cstheme="minorHAnsi"/>
          <w:b/>
          <w:bCs/>
          <w:highlight w:val="yellow"/>
        </w:rPr>
        <w:t>06</w:t>
      </w:r>
      <w:r w:rsidRPr="00BD054F">
        <w:rPr>
          <w:rFonts w:asciiTheme="minorHAnsi" w:hAnsiTheme="minorHAnsi" w:cstheme="minorHAnsi"/>
          <w:b/>
          <w:bCs/>
          <w:highlight w:val="yellow"/>
        </w:rPr>
        <w:t>.</w:t>
      </w:r>
      <w:r w:rsidR="0032777E">
        <w:rPr>
          <w:rFonts w:asciiTheme="minorHAnsi" w:hAnsiTheme="minorHAnsi" w:cstheme="minorHAnsi"/>
          <w:b/>
          <w:bCs/>
          <w:highlight w:val="yellow"/>
        </w:rPr>
        <w:t>03</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135663032"/>
      <w:r w:rsidRPr="008870AA">
        <w:rPr>
          <w:rFonts w:asciiTheme="minorHAnsi" w:hAnsiTheme="minorHAnsi" w:cstheme="minorHAnsi"/>
          <w:b/>
          <w:bCs/>
          <w:sz w:val="24"/>
          <w:szCs w:val="24"/>
        </w:rPr>
        <w:t>XX. Opis kryteriów oceny ofert wraz z podaniem wag tych kryteriów i sposobu oceny ofert</w:t>
      </w:r>
      <w:bookmarkEnd w:id="49"/>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0"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lastRenderedPageBreak/>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37ACDBB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1A5561">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342390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1A5561">
        <w:rPr>
          <w:rFonts w:asciiTheme="minorHAnsi" w:eastAsia="Times New Roman" w:hAnsiTheme="minorHAnsi" w:cstheme="minorHAnsi"/>
          <w:b/>
          <w:bCs/>
          <w:lang w:eastAsia="ar-SA"/>
        </w:rPr>
        <w:t>84</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miesiące</w:t>
      </w:r>
      <w:r w:rsidR="005D210C">
        <w:rPr>
          <w:rFonts w:asciiTheme="minorHAnsi" w:eastAsia="Times New Roman" w:hAnsiTheme="minorHAnsi" w:cstheme="minorHAnsi"/>
          <w:b/>
          <w:bCs/>
          <w:lang w:eastAsia="ar-SA"/>
        </w:rPr>
        <w:t>.</w:t>
      </w:r>
    </w:p>
    <w:p w14:paraId="06B9708B" w14:textId="4E0F1E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1A5561">
        <w:rPr>
          <w:rFonts w:asciiTheme="minorHAnsi" w:eastAsia="Times New Roman" w:hAnsiTheme="minorHAnsi" w:cstheme="minorHAnsi"/>
          <w:lang w:eastAsia="ar-SA"/>
        </w:rPr>
        <w:t>84</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A5561">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10D36D7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1A5561">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0"/>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35663033"/>
      <w:r w:rsidRPr="008870AA">
        <w:rPr>
          <w:rFonts w:asciiTheme="minorHAnsi" w:hAnsiTheme="minorHAnsi" w:cstheme="minorHAnsi"/>
          <w:b/>
          <w:bCs/>
          <w:sz w:val="22"/>
          <w:szCs w:val="22"/>
        </w:rPr>
        <w:t>XXI. Wymagania dotyczące zabezpieczenia należytego wykonania umowy.</w:t>
      </w:r>
      <w:bookmarkEnd w:id="51"/>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2"/>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3" w:name="_Toc135663035"/>
      <w:r w:rsidRPr="00173DE3">
        <w:rPr>
          <w:rFonts w:asciiTheme="minorHAnsi" w:hAnsiTheme="minorHAnsi" w:cstheme="minorHAnsi"/>
          <w:b/>
          <w:bCs/>
          <w:sz w:val="22"/>
          <w:szCs w:val="22"/>
        </w:rPr>
        <w:t>XXIII. Informacje o treści zawieranej umowy oraz możliwości jej zmiany</w:t>
      </w:r>
      <w:bookmarkEnd w:id="53"/>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4" w:name="_Toc135663036"/>
      <w:r w:rsidRPr="00173DE3">
        <w:rPr>
          <w:rFonts w:asciiTheme="minorHAnsi" w:hAnsiTheme="minorHAnsi" w:cstheme="minorHAnsi"/>
          <w:b/>
          <w:bCs/>
          <w:sz w:val="22"/>
          <w:szCs w:val="22"/>
        </w:rPr>
        <w:t>XXIV. Pouczenie o środkach ochrony prawnej przysługujących Wykonawcy</w:t>
      </w:r>
      <w:bookmarkEnd w:id="54"/>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uarrfy5kozla" w:colFirst="0" w:colLast="0"/>
      <w:bookmarkStart w:id="56" w:name="_Toc135663037"/>
      <w:bookmarkEnd w:id="55"/>
      <w:r w:rsidRPr="008870AA">
        <w:rPr>
          <w:rFonts w:asciiTheme="minorHAnsi" w:hAnsiTheme="minorHAnsi" w:cstheme="minorHAnsi"/>
          <w:b/>
          <w:bCs/>
          <w:sz w:val="22"/>
          <w:szCs w:val="22"/>
        </w:rPr>
        <w:t>XXV. Spis załączników</w:t>
      </w:r>
      <w:bookmarkEnd w:id="56"/>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31F5810D"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1621E0">
      <w:rPr>
        <w:rFonts w:asciiTheme="minorHAnsi" w:hAnsiTheme="minorHAnsi" w:cstheme="minorHAnsi"/>
        <w:sz w:val="20"/>
        <w:szCs w:val="20"/>
      </w:rPr>
      <w:t>2.</w:t>
    </w:r>
    <w:r w:rsidRPr="002E39C4">
      <w:rPr>
        <w:rFonts w:asciiTheme="minorHAnsi" w:hAnsiTheme="minorHAnsi" w:cstheme="minorHAnsi"/>
        <w:sz w:val="20"/>
        <w:szCs w:val="20"/>
      </w:rPr>
      <w:t>202</w:t>
    </w:r>
    <w:r w:rsidR="001621E0">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39"/>
  </w:num>
  <w:num w:numId="5" w16cid:durableId="2021153379">
    <w:abstractNumId w:val="28"/>
  </w:num>
  <w:num w:numId="6" w16cid:durableId="74474843">
    <w:abstractNumId w:val="38"/>
  </w:num>
  <w:num w:numId="7" w16cid:durableId="378820442">
    <w:abstractNumId w:val="35"/>
  </w:num>
  <w:num w:numId="8" w16cid:durableId="1056702684">
    <w:abstractNumId w:val="26"/>
  </w:num>
  <w:num w:numId="9" w16cid:durableId="1452360499">
    <w:abstractNumId w:val="12"/>
  </w:num>
  <w:num w:numId="10" w16cid:durableId="111361321">
    <w:abstractNumId w:val="16"/>
  </w:num>
  <w:num w:numId="11" w16cid:durableId="2896665">
    <w:abstractNumId w:val="33"/>
  </w:num>
  <w:num w:numId="12" w16cid:durableId="1527327384">
    <w:abstractNumId w:val="0"/>
  </w:num>
  <w:num w:numId="13" w16cid:durableId="304244796">
    <w:abstractNumId w:val="34"/>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6"/>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7"/>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 w:numId="42" w16cid:durableId="5018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1EE5"/>
    <w:rsid w:val="000A6655"/>
    <w:rsid w:val="000A6AF4"/>
    <w:rsid w:val="000B62AF"/>
    <w:rsid w:val="000C4537"/>
    <w:rsid w:val="000C47FC"/>
    <w:rsid w:val="000C69D0"/>
    <w:rsid w:val="000C77A6"/>
    <w:rsid w:val="000D14A1"/>
    <w:rsid w:val="000D21F3"/>
    <w:rsid w:val="000D60C2"/>
    <w:rsid w:val="000E0261"/>
    <w:rsid w:val="000E0A1D"/>
    <w:rsid w:val="000E7830"/>
    <w:rsid w:val="000F0749"/>
    <w:rsid w:val="000F55D3"/>
    <w:rsid w:val="00101F71"/>
    <w:rsid w:val="00103E65"/>
    <w:rsid w:val="00107067"/>
    <w:rsid w:val="00107238"/>
    <w:rsid w:val="0011106D"/>
    <w:rsid w:val="00112736"/>
    <w:rsid w:val="00113D06"/>
    <w:rsid w:val="00120BB0"/>
    <w:rsid w:val="00135555"/>
    <w:rsid w:val="001478A7"/>
    <w:rsid w:val="001505A7"/>
    <w:rsid w:val="00156AF4"/>
    <w:rsid w:val="001621E0"/>
    <w:rsid w:val="001677B3"/>
    <w:rsid w:val="00170CAC"/>
    <w:rsid w:val="00173DE3"/>
    <w:rsid w:val="00175D4F"/>
    <w:rsid w:val="001767F9"/>
    <w:rsid w:val="0018087F"/>
    <w:rsid w:val="0018210F"/>
    <w:rsid w:val="00185337"/>
    <w:rsid w:val="001A0570"/>
    <w:rsid w:val="001A5561"/>
    <w:rsid w:val="001A6830"/>
    <w:rsid w:val="001B3328"/>
    <w:rsid w:val="001B3CB2"/>
    <w:rsid w:val="001B7876"/>
    <w:rsid w:val="001C0A5A"/>
    <w:rsid w:val="001F181C"/>
    <w:rsid w:val="001F2FF1"/>
    <w:rsid w:val="001F7C00"/>
    <w:rsid w:val="0020436A"/>
    <w:rsid w:val="00204865"/>
    <w:rsid w:val="00204F9E"/>
    <w:rsid w:val="00210F2B"/>
    <w:rsid w:val="00217B83"/>
    <w:rsid w:val="00220671"/>
    <w:rsid w:val="0022393E"/>
    <w:rsid w:val="00230688"/>
    <w:rsid w:val="002331FE"/>
    <w:rsid w:val="00235E15"/>
    <w:rsid w:val="002401B6"/>
    <w:rsid w:val="002411C2"/>
    <w:rsid w:val="00245D88"/>
    <w:rsid w:val="0025558A"/>
    <w:rsid w:val="0026506F"/>
    <w:rsid w:val="00273836"/>
    <w:rsid w:val="0028554F"/>
    <w:rsid w:val="002864F5"/>
    <w:rsid w:val="002871A3"/>
    <w:rsid w:val="00292820"/>
    <w:rsid w:val="00296A44"/>
    <w:rsid w:val="00297766"/>
    <w:rsid w:val="002A54B4"/>
    <w:rsid w:val="002B6FFB"/>
    <w:rsid w:val="002D15D6"/>
    <w:rsid w:val="002D3723"/>
    <w:rsid w:val="002D4F56"/>
    <w:rsid w:val="002D6811"/>
    <w:rsid w:val="002E39C4"/>
    <w:rsid w:val="002F03D5"/>
    <w:rsid w:val="0030371C"/>
    <w:rsid w:val="00304225"/>
    <w:rsid w:val="00310EE6"/>
    <w:rsid w:val="00311772"/>
    <w:rsid w:val="00311B20"/>
    <w:rsid w:val="00320FE1"/>
    <w:rsid w:val="00323450"/>
    <w:rsid w:val="00323C4C"/>
    <w:rsid w:val="0032777E"/>
    <w:rsid w:val="00336B79"/>
    <w:rsid w:val="00342695"/>
    <w:rsid w:val="00344914"/>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39FC"/>
    <w:rsid w:val="003E3E74"/>
    <w:rsid w:val="003E3F0B"/>
    <w:rsid w:val="003E4313"/>
    <w:rsid w:val="003F7166"/>
    <w:rsid w:val="00403F6A"/>
    <w:rsid w:val="004261AA"/>
    <w:rsid w:val="00435871"/>
    <w:rsid w:val="0043670B"/>
    <w:rsid w:val="00444A85"/>
    <w:rsid w:val="004467CF"/>
    <w:rsid w:val="004471EA"/>
    <w:rsid w:val="00467FDE"/>
    <w:rsid w:val="00470C64"/>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7CF"/>
    <w:rsid w:val="00527B61"/>
    <w:rsid w:val="00533BC3"/>
    <w:rsid w:val="005348FC"/>
    <w:rsid w:val="0053564D"/>
    <w:rsid w:val="00542246"/>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39DE"/>
    <w:rsid w:val="005D028B"/>
    <w:rsid w:val="005D210C"/>
    <w:rsid w:val="005D3A17"/>
    <w:rsid w:val="005E1D15"/>
    <w:rsid w:val="005E4E8B"/>
    <w:rsid w:val="005F05D5"/>
    <w:rsid w:val="005F065A"/>
    <w:rsid w:val="005F0CA2"/>
    <w:rsid w:val="005F2EDB"/>
    <w:rsid w:val="005F349C"/>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7297"/>
    <w:rsid w:val="00680055"/>
    <w:rsid w:val="00690BF6"/>
    <w:rsid w:val="006939C2"/>
    <w:rsid w:val="006942A8"/>
    <w:rsid w:val="0069735D"/>
    <w:rsid w:val="00697C0A"/>
    <w:rsid w:val="006A117A"/>
    <w:rsid w:val="006A52C0"/>
    <w:rsid w:val="006B2602"/>
    <w:rsid w:val="006B3CF6"/>
    <w:rsid w:val="006E1A4E"/>
    <w:rsid w:val="006E1A86"/>
    <w:rsid w:val="006E1D8F"/>
    <w:rsid w:val="006E2E3E"/>
    <w:rsid w:val="006E7876"/>
    <w:rsid w:val="006F445F"/>
    <w:rsid w:val="006F74B6"/>
    <w:rsid w:val="00701633"/>
    <w:rsid w:val="00703E25"/>
    <w:rsid w:val="007046CB"/>
    <w:rsid w:val="007110FB"/>
    <w:rsid w:val="00715F38"/>
    <w:rsid w:val="00717272"/>
    <w:rsid w:val="00720A18"/>
    <w:rsid w:val="00723DE2"/>
    <w:rsid w:val="00725473"/>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424C"/>
    <w:rsid w:val="008264E3"/>
    <w:rsid w:val="008350FA"/>
    <w:rsid w:val="00835CAF"/>
    <w:rsid w:val="00846C28"/>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102"/>
    <w:rsid w:val="0096065D"/>
    <w:rsid w:val="00960F1B"/>
    <w:rsid w:val="00972E16"/>
    <w:rsid w:val="0097434E"/>
    <w:rsid w:val="00987D24"/>
    <w:rsid w:val="00992BB2"/>
    <w:rsid w:val="009A234A"/>
    <w:rsid w:val="009A3EF9"/>
    <w:rsid w:val="009A4892"/>
    <w:rsid w:val="009A73AE"/>
    <w:rsid w:val="009C66CF"/>
    <w:rsid w:val="009E1A40"/>
    <w:rsid w:val="009E1E89"/>
    <w:rsid w:val="009E7094"/>
    <w:rsid w:val="009F1359"/>
    <w:rsid w:val="009F5D8E"/>
    <w:rsid w:val="009F61EF"/>
    <w:rsid w:val="00A27CD8"/>
    <w:rsid w:val="00A44357"/>
    <w:rsid w:val="00A5165E"/>
    <w:rsid w:val="00A55B7B"/>
    <w:rsid w:val="00A60262"/>
    <w:rsid w:val="00A63219"/>
    <w:rsid w:val="00A6491C"/>
    <w:rsid w:val="00A65A72"/>
    <w:rsid w:val="00A66A28"/>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0A1C"/>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E00C3"/>
    <w:rsid w:val="00BE50CB"/>
    <w:rsid w:val="00BF1623"/>
    <w:rsid w:val="00BF35CA"/>
    <w:rsid w:val="00C005FF"/>
    <w:rsid w:val="00C01043"/>
    <w:rsid w:val="00C04FFE"/>
    <w:rsid w:val="00C17059"/>
    <w:rsid w:val="00C23C83"/>
    <w:rsid w:val="00C25602"/>
    <w:rsid w:val="00C25D6C"/>
    <w:rsid w:val="00C27963"/>
    <w:rsid w:val="00C27F9F"/>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77FDE"/>
    <w:rsid w:val="00D9438C"/>
    <w:rsid w:val="00D95E68"/>
    <w:rsid w:val="00DA48CC"/>
    <w:rsid w:val="00DB170B"/>
    <w:rsid w:val="00DC1E52"/>
    <w:rsid w:val="00DC3642"/>
    <w:rsid w:val="00DC7156"/>
    <w:rsid w:val="00DD0F07"/>
    <w:rsid w:val="00DE365A"/>
    <w:rsid w:val="00DE7C30"/>
    <w:rsid w:val="00E025ED"/>
    <w:rsid w:val="00E04BB0"/>
    <w:rsid w:val="00E129F4"/>
    <w:rsid w:val="00E147BC"/>
    <w:rsid w:val="00E24987"/>
    <w:rsid w:val="00E3190E"/>
    <w:rsid w:val="00E31ECE"/>
    <w:rsid w:val="00E36E74"/>
    <w:rsid w:val="00E36ECF"/>
    <w:rsid w:val="00E40F1A"/>
    <w:rsid w:val="00E41824"/>
    <w:rsid w:val="00E43692"/>
    <w:rsid w:val="00E45B28"/>
    <w:rsid w:val="00E51A42"/>
    <w:rsid w:val="00E563E1"/>
    <w:rsid w:val="00E603A7"/>
    <w:rsid w:val="00E621AC"/>
    <w:rsid w:val="00E74276"/>
    <w:rsid w:val="00E80DC0"/>
    <w:rsid w:val="00E84AFF"/>
    <w:rsid w:val="00E9033F"/>
    <w:rsid w:val="00E90430"/>
    <w:rsid w:val="00E920A2"/>
    <w:rsid w:val="00EB1D1F"/>
    <w:rsid w:val="00EC4BE3"/>
    <w:rsid w:val="00EC6369"/>
    <w:rsid w:val="00ED0E75"/>
    <w:rsid w:val="00ED55A0"/>
    <w:rsid w:val="00ED702C"/>
    <w:rsid w:val="00EE0719"/>
    <w:rsid w:val="00EE12EC"/>
    <w:rsid w:val="00EE44B6"/>
    <w:rsid w:val="00EE6DEB"/>
    <w:rsid w:val="00EF0373"/>
    <w:rsid w:val="00F01449"/>
    <w:rsid w:val="00F016E3"/>
    <w:rsid w:val="00F131B6"/>
    <w:rsid w:val="00F13C47"/>
    <w:rsid w:val="00F150DD"/>
    <w:rsid w:val="00F15A45"/>
    <w:rsid w:val="00F208F9"/>
    <w:rsid w:val="00F214CA"/>
    <w:rsid w:val="00F244D5"/>
    <w:rsid w:val="00F24D6E"/>
    <w:rsid w:val="00F25413"/>
    <w:rsid w:val="00F35B36"/>
    <w:rsid w:val="00F372A1"/>
    <w:rsid w:val="00F40D0E"/>
    <w:rsid w:val="00F41AE2"/>
    <w:rsid w:val="00F42A97"/>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D1E9A"/>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TotalTime>
  <Pages>27</Pages>
  <Words>11712</Words>
  <Characters>70278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292</cp:revision>
  <cp:lastPrinted>2024-02-16T09:13:00Z</cp:lastPrinted>
  <dcterms:created xsi:type="dcterms:W3CDTF">2021-12-01T12:49:00Z</dcterms:created>
  <dcterms:modified xsi:type="dcterms:W3CDTF">2024-02-16T09:22:00Z</dcterms:modified>
</cp:coreProperties>
</file>