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66DC88D1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7D576D" w:rsidRPr="007D576D">
        <w:rPr>
          <w:b/>
          <w:bCs/>
          <w:color w:val="000000"/>
          <w:sz w:val="22"/>
          <w:szCs w:val="22"/>
        </w:rPr>
        <w:t>dostawy zestawów bariatrycznych dla Oddziału Chirurgii Ogólnej i Bariatrycznej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7D576D">
        <w:rPr>
          <w:b/>
          <w:sz w:val="22"/>
          <w:szCs w:val="22"/>
          <w:u w:val="single"/>
        </w:rPr>
        <w:t>48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32A3E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7D576D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DE57F5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5</cp:revision>
  <cp:lastPrinted>2024-04-16T09:45:00Z</cp:lastPrinted>
  <dcterms:created xsi:type="dcterms:W3CDTF">2023-12-14T15:21:00Z</dcterms:created>
  <dcterms:modified xsi:type="dcterms:W3CDTF">2024-05-28T05:54:00Z</dcterms:modified>
</cp:coreProperties>
</file>