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FE" w:rsidRDefault="007E27FE" w:rsidP="00665193">
      <w:pPr>
        <w:pStyle w:val="Header"/>
        <w:jc w:val="center"/>
      </w:pPr>
    </w:p>
    <w:p w:rsidR="007E27FE" w:rsidRPr="00665193" w:rsidRDefault="007E27FE" w:rsidP="00665193">
      <w:pPr>
        <w:pStyle w:val="Footer"/>
        <w:jc w:val="center"/>
        <w:rPr>
          <w:rFonts w:ascii="Calibri" w:hAnsi="Calibri" w:cs="Arial"/>
          <w:sz w:val="18"/>
          <w:szCs w:val="18"/>
        </w:rPr>
      </w:pPr>
    </w:p>
    <w:p w:rsidR="007E27FE" w:rsidRPr="00500D4E" w:rsidRDefault="007E27FE" w:rsidP="00500D4E">
      <w:pPr>
        <w:spacing w:after="0" w:line="240" w:lineRule="auto"/>
        <w:rPr>
          <w:rFonts w:ascii="Verdana" w:hAnsi="Verdana"/>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31.08.</w:t>
      </w:r>
      <w:r w:rsidRPr="00500D4E">
        <w:rPr>
          <w:rFonts w:cs="Calibri"/>
          <w:bCs/>
          <w:sz w:val="20"/>
          <w:szCs w:val="20"/>
          <w:lang w:eastAsia="pl-PL"/>
        </w:rPr>
        <w:t>2021 r.</w:t>
      </w: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7E27FE" w:rsidRPr="00EB6A9A"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iCs/>
          <w:sz w:val="20"/>
          <w:szCs w:val="20"/>
          <w:lang w:eastAsia="pl-PL"/>
        </w:rPr>
      </w:pPr>
      <w:r>
        <w:rPr>
          <w:rFonts w:ascii="Verdana" w:hAnsi="Verdana" w:cs="Calibri"/>
          <w:b/>
          <w:bCs/>
          <w:sz w:val="20"/>
          <w:szCs w:val="20"/>
        </w:rPr>
        <w:t>M</w:t>
      </w:r>
      <w:r w:rsidRPr="00CC323E">
        <w:rPr>
          <w:rFonts w:ascii="Verdana" w:hAnsi="Verdana" w:cs="Calibri"/>
          <w:b/>
          <w:bCs/>
          <w:sz w:val="20"/>
          <w:szCs w:val="20"/>
        </w:rPr>
        <w:t>odernizacj</w:t>
      </w:r>
      <w:r>
        <w:rPr>
          <w:rFonts w:ascii="Verdana" w:hAnsi="Verdana" w:cs="Calibri"/>
          <w:b/>
          <w:bCs/>
          <w:sz w:val="20"/>
          <w:szCs w:val="20"/>
        </w:rPr>
        <w:t>a</w:t>
      </w:r>
      <w:r w:rsidRPr="00CC323E">
        <w:rPr>
          <w:rFonts w:ascii="Verdana" w:hAnsi="Verdana" w:cs="Calibri"/>
          <w:b/>
          <w:bCs/>
          <w:sz w:val="20"/>
          <w:szCs w:val="20"/>
        </w:rPr>
        <w:t xml:space="preserve"> istniejącego w</w:t>
      </w:r>
      <w:r w:rsidRPr="00CC323E">
        <w:rPr>
          <w:rFonts w:ascii="Verdana" w:hAnsi="Verdana" w:cs="Calibri"/>
          <w:b/>
          <w:sz w:val="20"/>
          <w:szCs w:val="20"/>
        </w:rPr>
        <w:t xml:space="preserve"> Sieć Badawcza Łukasiewicz - Krakowskim Instytucie Technologicznym </w:t>
      </w:r>
      <w:r w:rsidRPr="00CC323E">
        <w:rPr>
          <w:rFonts w:ascii="Verdana" w:hAnsi="Verdana" w:cs="Calibri"/>
          <w:b/>
          <w:bCs/>
          <w:sz w:val="20"/>
          <w:szCs w:val="20"/>
        </w:rPr>
        <w:t>urządzenia NNV-6.6 I1UHL4 do nanoszenia powłok metodą PVD</w:t>
      </w:r>
    </w:p>
    <w:p w:rsidR="007E27F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7E27FE" w:rsidRPr="00641238" w:rsidRDefault="007E27FE"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7E27FE" w:rsidRPr="00641238" w:rsidRDefault="007E27FE"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Pr="00500D4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Pr="00500D4E" w:rsidRDefault="007E27FE"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Default="007E27F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E27FE" w:rsidRPr="00500D4E" w:rsidRDefault="007E27FE" w:rsidP="00500D4E">
      <w:pPr>
        <w:tabs>
          <w:tab w:val="left" w:pos="1752"/>
        </w:tabs>
        <w:spacing w:after="0" w:line="240" w:lineRule="auto"/>
        <w:rPr>
          <w:rFonts w:cs="Calibri"/>
          <w:bCs/>
          <w:iCs/>
          <w:sz w:val="20"/>
          <w:szCs w:val="20"/>
          <w:lang w:eastAsia="pl-PL"/>
        </w:rPr>
      </w:pPr>
    </w:p>
    <w:p w:rsidR="007E27FE" w:rsidRPr="00500D4E" w:rsidRDefault="007E27FE"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7E27FE" w:rsidRPr="00A9399E" w:rsidRDefault="007E27FE"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7E27FE" w:rsidRPr="00A9399E" w:rsidRDefault="007E27FE"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7E27FE" w:rsidRPr="00A9399E" w:rsidRDefault="007E27FE"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7E27FE" w:rsidRPr="00A9399E" w:rsidRDefault="007E27FE"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7E27FE" w:rsidRDefault="007E27FE" w:rsidP="00A9399E">
      <w:pPr>
        <w:spacing w:after="0" w:line="240" w:lineRule="auto"/>
        <w:jc w:val="both"/>
      </w:pPr>
      <w:r>
        <w:t>Adres strony internetowej: https://kit.lukasiewicz.gov.pl/</w:t>
      </w:r>
    </w:p>
    <w:p w:rsidR="007E27FE" w:rsidRDefault="007E27FE" w:rsidP="00A9399E">
      <w:pPr>
        <w:spacing w:after="0" w:line="240" w:lineRule="auto"/>
        <w:jc w:val="both"/>
      </w:pPr>
      <w:r>
        <w:t>Adres poczty elektronicznej: sekretariat@kit.lukasiewicz.gov.pl</w:t>
      </w:r>
    </w:p>
    <w:p w:rsidR="007E27FE" w:rsidRPr="00500D4E" w:rsidRDefault="007E27FE"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7E27FE" w:rsidRPr="00500D4E" w:rsidRDefault="007E27FE"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7E27FE" w:rsidRPr="00880CF6" w:rsidRDefault="007E27FE"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7E27FE" w:rsidRPr="00880CF6" w:rsidRDefault="007E27FE" w:rsidP="00500D4E">
      <w:pPr>
        <w:spacing w:after="0" w:line="240" w:lineRule="auto"/>
        <w:jc w:val="both"/>
        <w:rPr>
          <w:rFonts w:cs="Calibri"/>
          <w:i/>
          <w:sz w:val="20"/>
          <w:szCs w:val="20"/>
          <w:lang w:eastAsia="pl-PL"/>
        </w:rPr>
      </w:pPr>
    </w:p>
    <w:p w:rsidR="007E27FE" w:rsidRPr="00500D4E" w:rsidRDefault="007E27FE"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7E27FE" w:rsidRDefault="007E27FE"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7E27FE" w:rsidRPr="00E8732C" w:rsidRDefault="007E27FE" w:rsidP="00F81447">
      <w:pPr>
        <w:rPr>
          <w:rFonts w:cs="Calibri"/>
          <w:b/>
          <w:sz w:val="20"/>
          <w:szCs w:val="20"/>
          <w:lang w:eastAsia="pl-PL"/>
        </w:rPr>
      </w:pPr>
      <w:r w:rsidRPr="00E8732C">
        <w:rPr>
          <w:rFonts w:cs="Calibri"/>
          <w:b/>
          <w:sz w:val="20"/>
          <w:szCs w:val="20"/>
          <w:lang w:eastAsia="pl-PL"/>
        </w:rPr>
        <w:t xml:space="preserve">Modernizacja istniejącego w Sieć Badawcza Łukasiewicz - Krakowskim Instytucie Technologicznym urządzenia NNV-6.6 I1UHL4 </w:t>
      </w:r>
      <w:r>
        <w:rPr>
          <w:rFonts w:cs="Calibri"/>
          <w:b/>
          <w:sz w:val="20"/>
          <w:szCs w:val="20"/>
          <w:lang w:eastAsia="pl-PL"/>
        </w:rPr>
        <w:t>do nanoszenia powłok metodą PVD</w:t>
      </w:r>
    </w:p>
    <w:p w:rsidR="007E27FE" w:rsidRPr="00EC639F" w:rsidRDefault="007E27FE" w:rsidP="008F1431">
      <w:pPr>
        <w:tabs>
          <w:tab w:val="center" w:pos="4536"/>
          <w:tab w:val="right" w:pos="9072"/>
        </w:tabs>
        <w:spacing w:after="0" w:line="240" w:lineRule="auto"/>
        <w:jc w:val="both"/>
        <w:rPr>
          <w:rFonts w:ascii="Verdana" w:hAnsi="Verdana"/>
          <w:color w:val="000000"/>
          <w:sz w:val="20"/>
          <w:szCs w:val="20"/>
          <w:shd w:val="clear" w:color="auto" w:fill="FFFFFF"/>
        </w:rPr>
      </w:pPr>
      <w:r w:rsidRPr="008F1431">
        <w:rPr>
          <w:color w:val="000000"/>
        </w:rPr>
        <w:t xml:space="preserve">CPV: </w:t>
      </w:r>
      <w:r w:rsidRPr="008F1431">
        <w:rPr>
          <w:rFonts w:ascii="Verdana" w:hAnsi="Verdana"/>
          <w:color w:val="000000"/>
          <w:sz w:val="20"/>
          <w:szCs w:val="20"/>
          <w:shd w:val="clear" w:color="auto" w:fill="FFFFFF"/>
        </w:rPr>
        <w:t>73120000-9</w:t>
      </w:r>
      <w:r>
        <w:rPr>
          <w:rFonts w:ascii="Verdana" w:hAnsi="Verdana"/>
          <w:color w:val="000000"/>
          <w:sz w:val="20"/>
          <w:szCs w:val="20"/>
          <w:shd w:val="clear" w:color="auto" w:fill="FFFFFF"/>
        </w:rPr>
        <w:t xml:space="preserve">, </w:t>
      </w:r>
      <w:r w:rsidRPr="008F1431">
        <w:rPr>
          <w:rFonts w:ascii="Verdana" w:hAnsi="Verdana"/>
          <w:color w:val="000000"/>
          <w:sz w:val="20"/>
          <w:szCs w:val="20"/>
          <w:shd w:val="clear" w:color="auto" w:fill="FFFFFF"/>
        </w:rPr>
        <w:t>31211300</w:t>
      </w:r>
      <w:r>
        <w:rPr>
          <w:rFonts w:ascii="Verdana" w:hAnsi="Verdana"/>
          <w:color w:val="000000"/>
          <w:sz w:val="20"/>
          <w:szCs w:val="20"/>
          <w:shd w:val="clear" w:color="auto" w:fill="FFFFFF"/>
        </w:rPr>
        <w:t xml:space="preserve">-1, 31214130-9, </w:t>
      </w:r>
      <w:r w:rsidRPr="008F1431">
        <w:rPr>
          <w:rFonts w:ascii="Verdana" w:hAnsi="Verdana"/>
          <w:color w:val="000000"/>
          <w:sz w:val="20"/>
          <w:szCs w:val="20"/>
          <w:shd w:val="clear" w:color="auto" w:fill="FFFFFF"/>
        </w:rPr>
        <w:t>31220000</w:t>
      </w:r>
      <w:r>
        <w:rPr>
          <w:rFonts w:ascii="Verdana" w:hAnsi="Verdana"/>
          <w:color w:val="000000"/>
          <w:sz w:val="20"/>
          <w:szCs w:val="20"/>
          <w:shd w:val="clear" w:color="auto" w:fill="FFFFFF"/>
        </w:rPr>
        <w:t xml:space="preserve">-4, </w:t>
      </w:r>
      <w:r w:rsidRPr="008F1431">
        <w:rPr>
          <w:rFonts w:ascii="Verdana" w:hAnsi="Verdana"/>
          <w:color w:val="000000"/>
          <w:sz w:val="20"/>
          <w:szCs w:val="20"/>
          <w:shd w:val="clear" w:color="auto" w:fill="FFFFFF"/>
        </w:rPr>
        <w:t>31711100</w:t>
      </w:r>
      <w:r>
        <w:rPr>
          <w:rFonts w:ascii="Verdana" w:hAnsi="Verdana"/>
          <w:color w:val="000000"/>
          <w:sz w:val="20"/>
          <w:szCs w:val="20"/>
          <w:shd w:val="clear" w:color="auto" w:fill="FFFFFF"/>
        </w:rPr>
        <w:t xml:space="preserve">-4, </w:t>
      </w:r>
      <w:r w:rsidRPr="008F1431">
        <w:rPr>
          <w:rFonts w:ascii="Verdana" w:hAnsi="Verdana"/>
          <w:color w:val="000000"/>
          <w:sz w:val="20"/>
          <w:szCs w:val="20"/>
          <w:shd w:val="clear" w:color="auto" w:fill="FFFFFF"/>
        </w:rPr>
        <w:t>31682210</w:t>
      </w:r>
      <w:r>
        <w:rPr>
          <w:rFonts w:ascii="Verdana" w:hAnsi="Verdana"/>
          <w:color w:val="000000"/>
          <w:sz w:val="20"/>
          <w:szCs w:val="20"/>
          <w:shd w:val="clear" w:color="auto" w:fill="FFFFFF"/>
        </w:rPr>
        <w:t>-5</w:t>
      </w:r>
    </w:p>
    <w:p w:rsidR="007E27FE" w:rsidRDefault="007E27FE" w:rsidP="001E4E66">
      <w:pPr>
        <w:autoSpaceDE w:val="0"/>
        <w:autoSpaceDN w:val="0"/>
        <w:adjustRightInd w:val="0"/>
        <w:spacing w:after="0" w:line="240" w:lineRule="auto"/>
        <w:jc w:val="both"/>
        <w:rPr>
          <w:rFonts w:cs="Calibri"/>
          <w:color w:val="000000"/>
          <w:sz w:val="20"/>
          <w:szCs w:val="20"/>
        </w:rPr>
      </w:pPr>
    </w:p>
    <w:p w:rsidR="007E27FE" w:rsidRPr="009D5E9D" w:rsidRDefault="007E27FE"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ZP/9/</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7E27FE" w:rsidRPr="009D5E9D" w:rsidRDefault="007E27FE" w:rsidP="00500D4E">
      <w:pPr>
        <w:tabs>
          <w:tab w:val="center" w:pos="4536"/>
          <w:tab w:val="right" w:pos="9072"/>
        </w:tabs>
        <w:spacing w:after="0" w:line="240" w:lineRule="auto"/>
        <w:jc w:val="both"/>
        <w:rPr>
          <w:rFonts w:cs="Calibri"/>
          <w:b/>
          <w:sz w:val="20"/>
          <w:szCs w:val="20"/>
          <w:lang w:eastAsia="pl-PL"/>
        </w:rPr>
      </w:pPr>
    </w:p>
    <w:p w:rsidR="007E27FE" w:rsidRPr="00500D4E" w:rsidRDefault="007E27FE"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7E27FE" w:rsidRPr="00500D4E" w:rsidRDefault="007E27FE" w:rsidP="00500D4E">
      <w:pPr>
        <w:tabs>
          <w:tab w:val="center" w:pos="4536"/>
          <w:tab w:val="right" w:pos="9072"/>
        </w:tabs>
        <w:spacing w:after="0" w:line="240" w:lineRule="auto"/>
        <w:jc w:val="both"/>
        <w:rPr>
          <w:rFonts w:cs="Calibri"/>
          <w:sz w:val="20"/>
          <w:szCs w:val="20"/>
          <w:lang w:eastAsia="pl-PL"/>
        </w:rPr>
      </w:pPr>
    </w:p>
    <w:p w:rsidR="007E27FE" w:rsidRDefault="007E27FE"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7E27FE" w:rsidRPr="00D41A2F" w:rsidRDefault="007E27FE"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7E27FE" w:rsidRPr="00500D4E" w:rsidRDefault="007E27FE" w:rsidP="004645AA">
      <w:pPr>
        <w:spacing w:after="0" w:line="240" w:lineRule="auto"/>
        <w:jc w:val="both"/>
        <w:rPr>
          <w:rFonts w:cs="Calibri"/>
          <w:sz w:val="20"/>
          <w:szCs w:val="20"/>
          <w:lang w:eastAsia="pl-PL"/>
        </w:rPr>
      </w:pPr>
      <w:r>
        <w:rPr>
          <w:rFonts w:cs="Calibri"/>
          <w:sz w:val="20"/>
          <w:szCs w:val="20"/>
          <w:lang w:eastAsia="pl-PL"/>
        </w:rPr>
        <w:t>do 8 miesięcy od daty podpisania umowy</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7E27FE" w:rsidRPr="00500D4E" w:rsidRDefault="007E27FE"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7E27FE" w:rsidRPr="00500D4E" w:rsidRDefault="007E27FE"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7E27FE" w:rsidRPr="00500D4E" w:rsidRDefault="007E27FE"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7E27FE" w:rsidRPr="00500D4E" w:rsidRDefault="007E27FE"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7E27FE" w:rsidRPr="00500D4E" w:rsidRDefault="007E27FE"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7E27FE" w:rsidRPr="00500D4E" w:rsidRDefault="007E27FE"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7E27FE" w:rsidRPr="00500D4E" w:rsidRDefault="007E27FE"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7E27FE" w:rsidRPr="00500D4E" w:rsidRDefault="007E27FE"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7E27FE" w:rsidRPr="00500D4E" w:rsidRDefault="007E27FE" w:rsidP="00500D4E">
      <w:pPr>
        <w:spacing w:after="0" w:line="240" w:lineRule="auto"/>
        <w:jc w:val="both"/>
        <w:rPr>
          <w:rFonts w:cs="Calibri"/>
          <w:sz w:val="20"/>
          <w:szCs w:val="20"/>
        </w:rPr>
      </w:pPr>
      <w:r w:rsidRPr="00500D4E">
        <w:rPr>
          <w:rFonts w:cs="Calibri"/>
          <w:sz w:val="20"/>
          <w:szCs w:val="20"/>
        </w:rPr>
        <w:t xml:space="preserve">     formatu XAdES.</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7E27FE" w:rsidRPr="00500D4E" w:rsidRDefault="007E27FE" w:rsidP="00500D4E">
      <w:pPr>
        <w:autoSpaceDE w:val="0"/>
        <w:autoSpaceDN w:val="0"/>
        <w:adjustRightInd w:val="0"/>
        <w:spacing w:after="0" w:line="240" w:lineRule="auto"/>
        <w:jc w:val="both"/>
        <w:rPr>
          <w:rFonts w:cs="Calibri"/>
          <w:bCs/>
          <w:sz w:val="20"/>
          <w:szCs w:val="20"/>
          <w:lang w:eastAsia="pl-PL"/>
        </w:rPr>
      </w:pPr>
    </w:p>
    <w:p w:rsidR="007E27FE" w:rsidRPr="00500D4E" w:rsidRDefault="007E27FE"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7E27FE" w:rsidRDefault="007E27FE"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7E27FE" w:rsidRPr="00454D80" w:rsidRDefault="007E27FE" w:rsidP="00500D4E">
      <w:pPr>
        <w:spacing w:after="0" w:line="240" w:lineRule="auto"/>
        <w:jc w:val="both"/>
        <w:rPr>
          <w:rFonts w:cs="Calibri"/>
          <w:sz w:val="20"/>
          <w:szCs w:val="20"/>
          <w:lang w:eastAsia="pl-PL"/>
        </w:rPr>
      </w:pPr>
      <w:r>
        <w:rPr>
          <w:rFonts w:cs="Calibri"/>
          <w:sz w:val="20"/>
          <w:szCs w:val="20"/>
          <w:lang w:eastAsia="pl-PL"/>
        </w:rPr>
        <w:t xml:space="preserve">Daniel Tobola – kwestie merytoryczne dotyczące przedmiotu zamówienia – tel. </w:t>
      </w:r>
      <w:r w:rsidRPr="00454D80">
        <w:rPr>
          <w:rFonts w:cs="Calibri"/>
          <w:sz w:val="20"/>
          <w:szCs w:val="20"/>
          <w:lang w:eastAsia="pl-PL"/>
        </w:rPr>
        <w:t>+48 12 63 17 251</w:t>
      </w:r>
    </w:p>
    <w:p w:rsidR="007E27FE" w:rsidRPr="00500D4E" w:rsidRDefault="007E27FE" w:rsidP="00500D4E">
      <w:pPr>
        <w:autoSpaceDE w:val="0"/>
        <w:autoSpaceDN w:val="0"/>
        <w:adjustRightInd w:val="0"/>
        <w:spacing w:after="0" w:line="240" w:lineRule="auto"/>
        <w:jc w:val="both"/>
        <w:rPr>
          <w:rFonts w:cs="Calibri"/>
          <w:color w:val="000000"/>
          <w:sz w:val="20"/>
          <w:szCs w:val="20"/>
          <w:lang w:val="de-DE"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7E27FE" w:rsidRPr="00CB7150" w:rsidRDefault="007E27FE"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09.10.2021 r.</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7E27FE" w:rsidRPr="00500D4E" w:rsidRDefault="007E27FE" w:rsidP="00051DAB">
      <w:pPr>
        <w:numPr>
          <w:ilvl w:val="0"/>
          <w:numId w:val="10"/>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7E27FE" w:rsidRPr="00500D4E" w:rsidRDefault="007E27FE" w:rsidP="00051DAB">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7E27FE" w:rsidRPr="00500D4E" w:rsidRDefault="007E27FE" w:rsidP="00051DAB">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7E27FE" w:rsidRPr="00500D4E" w:rsidRDefault="007E27FE"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7E27F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p>
    <w:p w:rsidR="007E27F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7E27FE" w:rsidRPr="00500D4E" w:rsidRDefault="007E27F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E27FE" w:rsidRPr="00500D4E" w:rsidRDefault="007E27FE" w:rsidP="00500D4E">
      <w:pPr>
        <w:autoSpaceDE w:val="0"/>
        <w:autoSpaceDN w:val="0"/>
        <w:adjustRightInd w:val="0"/>
        <w:spacing w:after="0" w:line="240" w:lineRule="auto"/>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7E27FE" w:rsidRPr="00500D4E" w:rsidRDefault="007E27F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7E27FE" w:rsidRPr="00500D4E" w:rsidRDefault="007E27FE" w:rsidP="00500D4E">
      <w:pPr>
        <w:autoSpaceDE w:val="0"/>
        <w:autoSpaceDN w:val="0"/>
        <w:adjustRightInd w:val="0"/>
        <w:spacing w:after="0" w:line="240" w:lineRule="auto"/>
        <w:jc w:val="both"/>
        <w:rPr>
          <w:rFonts w:cs="Calibri"/>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7E27FE" w:rsidRPr="00500D4E" w:rsidRDefault="007E27FE" w:rsidP="00500D4E">
      <w:pPr>
        <w:autoSpaceDE w:val="0"/>
        <w:autoSpaceDN w:val="0"/>
        <w:adjustRightInd w:val="0"/>
        <w:spacing w:after="0" w:line="240" w:lineRule="auto"/>
        <w:ind w:left="284" w:hanging="284"/>
        <w:jc w:val="both"/>
        <w:rPr>
          <w:rFonts w:cs="Calibri"/>
          <w:sz w:val="20"/>
          <w:szCs w:val="20"/>
          <w:u w:val="single"/>
          <w:lang w:eastAsia="pl-PL"/>
        </w:rPr>
      </w:pPr>
    </w:p>
    <w:p w:rsidR="007E27FE" w:rsidRPr="00500D4E" w:rsidRDefault="007E27FE" w:rsidP="00500D4E">
      <w:pPr>
        <w:autoSpaceDE w:val="0"/>
        <w:autoSpaceDN w:val="0"/>
        <w:adjustRightInd w:val="0"/>
        <w:spacing w:after="0" w:line="240" w:lineRule="auto"/>
        <w:ind w:left="284" w:hanging="284"/>
        <w:jc w:val="both"/>
        <w:rPr>
          <w:rFonts w:cs="Calibri"/>
          <w:sz w:val="20"/>
          <w:szCs w:val="20"/>
          <w:u w:val="single"/>
          <w:lang w:eastAsia="pl-PL"/>
        </w:rPr>
      </w:pPr>
    </w:p>
    <w:p w:rsidR="007E27FE" w:rsidRPr="00500D4E" w:rsidRDefault="007E27F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7E27FE" w:rsidRPr="00CE5D41"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7E27FE" w:rsidRPr="00500D4E" w:rsidRDefault="007E27FE" w:rsidP="00500D4E">
      <w:pPr>
        <w:autoSpaceDE w:val="0"/>
        <w:autoSpaceDN w:val="0"/>
        <w:adjustRightInd w:val="0"/>
        <w:spacing w:after="0" w:line="240" w:lineRule="auto"/>
        <w:jc w:val="both"/>
        <w:rPr>
          <w:rFonts w:cs="Calibri"/>
          <w:sz w:val="20"/>
          <w:szCs w:val="20"/>
          <w:lang w:eastAsia="pl-PL"/>
        </w:rPr>
      </w:pP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7E27FE" w:rsidRPr="00500D4E" w:rsidRDefault="007E27FE"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7E27FE" w:rsidRPr="00500D4E" w:rsidRDefault="007E27FE"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7E27FE" w:rsidRPr="00500D4E" w:rsidRDefault="007E27FE"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7E27FE" w:rsidRPr="00500D4E" w:rsidRDefault="007E27FE"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7E27FE" w:rsidRPr="00500D4E" w:rsidRDefault="007E27FE" w:rsidP="00500D4E">
      <w:pPr>
        <w:autoSpaceDE w:val="0"/>
        <w:autoSpaceDN w:val="0"/>
        <w:adjustRightInd w:val="0"/>
        <w:spacing w:after="0" w:line="240" w:lineRule="auto"/>
        <w:jc w:val="both"/>
        <w:rPr>
          <w:rFonts w:cs="Calibri"/>
          <w:b/>
          <w:bCs/>
          <w:sz w:val="20"/>
          <w:szCs w:val="20"/>
          <w:lang w:eastAsia="pl-PL"/>
        </w:rPr>
      </w:pPr>
    </w:p>
    <w:p w:rsidR="007E27FE" w:rsidRPr="00500D4E" w:rsidRDefault="007E27FE" w:rsidP="00500D4E">
      <w:pPr>
        <w:autoSpaceDE w:val="0"/>
        <w:autoSpaceDN w:val="0"/>
        <w:adjustRightInd w:val="0"/>
        <w:spacing w:after="0" w:line="240" w:lineRule="auto"/>
        <w:jc w:val="both"/>
        <w:rPr>
          <w:rFonts w:cs="Calibri"/>
          <w:b/>
          <w: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7E27FE" w:rsidRPr="00500D4E" w:rsidRDefault="007E27FE"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7E27FE" w:rsidRPr="00500D4E" w:rsidRDefault="007E27FE"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7E27FE" w:rsidRPr="00500D4E" w:rsidRDefault="007E27FE"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7E27FE" w:rsidRPr="00500D4E" w:rsidRDefault="007E27FE"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7E27FE" w:rsidRPr="00500D4E" w:rsidRDefault="007E27FE" w:rsidP="00500D4E">
      <w:pPr>
        <w:tabs>
          <w:tab w:val="center" w:pos="4536"/>
          <w:tab w:val="right" w:pos="9072"/>
        </w:tabs>
        <w:spacing w:after="0" w:line="240" w:lineRule="auto"/>
        <w:ind w:left="284" w:hanging="284"/>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7E27FE" w:rsidRPr="00500D4E" w:rsidRDefault="007E27FE" w:rsidP="00500D4E">
      <w:pPr>
        <w:autoSpaceDE w:val="0"/>
        <w:autoSpaceDN w:val="0"/>
        <w:adjustRightInd w:val="0"/>
        <w:spacing w:after="0" w:line="240" w:lineRule="auto"/>
        <w:jc w:val="both"/>
        <w:rPr>
          <w:rFonts w:cs="Calibri"/>
          <w:b/>
          <w: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7E27FE" w:rsidRPr="006202DD" w:rsidRDefault="007E27FE" w:rsidP="00500D4E">
      <w:pPr>
        <w:autoSpaceDE w:val="0"/>
        <w:autoSpaceDN w:val="0"/>
        <w:adjustRightInd w:val="0"/>
        <w:spacing w:after="0" w:line="240" w:lineRule="auto"/>
        <w:jc w:val="both"/>
        <w:rPr>
          <w:rFonts w:cs="Calibri"/>
          <w:b/>
          <w:i/>
          <w:strike/>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7E27FE" w:rsidRPr="00500D4E" w:rsidRDefault="007E27FE"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10.09.2021</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7E27FE" w:rsidRPr="00500D4E" w:rsidRDefault="007E27FE"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7E27FE" w:rsidRPr="00500D4E" w:rsidRDefault="007E27FE"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7E27FE" w:rsidRPr="00500D4E" w:rsidRDefault="007E27FE"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7E27FE" w:rsidRPr="00500D4E" w:rsidRDefault="007E27FE"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7E27FE" w:rsidRPr="00500D4E" w:rsidRDefault="007E27F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7E27FE" w:rsidRPr="00500D4E" w:rsidRDefault="007E27FE"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10.09.2021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15</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7E27FE" w:rsidRPr="00500D4E" w:rsidRDefault="007E27FE"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7E27FE" w:rsidRPr="00500D4E" w:rsidRDefault="007E27FE"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7E27FE" w:rsidRPr="00500D4E" w:rsidRDefault="007E27F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7E27FE" w:rsidRPr="00500D4E" w:rsidRDefault="007E27FE"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E27FE" w:rsidRPr="00500D4E" w:rsidRDefault="007E27FE"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E27FE" w:rsidRPr="00500D4E" w:rsidRDefault="007E27FE"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E27F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7E27FE" w:rsidRPr="00500D4E" w:rsidRDefault="007E27FE"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7E27FE" w:rsidRDefault="007E27FE" w:rsidP="00C50593">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Ceny należy podać w PLN. Mają one charakter ostateczny i nie mogą ulec zmianie poza przypadkami wprost wskazanymi w SWZ, załącznikach do niej oraz powszechnie obowiązujących przepisach prawa.</w:t>
      </w:r>
    </w:p>
    <w:p w:rsidR="007E27FE" w:rsidRPr="00500D4E" w:rsidRDefault="007E27FE" w:rsidP="00C50593">
      <w:pPr>
        <w:widowControl w:val="0"/>
        <w:spacing w:after="0" w:line="240" w:lineRule="auto"/>
        <w:jc w:val="both"/>
        <w:rPr>
          <w:rFonts w:cs="Calibri"/>
          <w:sz w:val="20"/>
          <w:szCs w:val="20"/>
          <w:lang w:eastAsia="pl-PL"/>
        </w:rPr>
      </w:pPr>
    </w:p>
    <w:p w:rsidR="007E27FE" w:rsidRPr="00500D4E" w:rsidRDefault="007E27FE"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7E27FE" w:rsidRPr="00500D4E" w:rsidRDefault="007E27FE"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7E27FE" w:rsidRPr="00500D4E" w:rsidRDefault="007E27FE"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7E27FE" w:rsidRPr="00500D4E" w:rsidRDefault="007E27FE"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7E27FE" w:rsidRPr="00500D4E" w:rsidRDefault="007E27FE"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7E27FE" w:rsidRPr="00500D4E" w:rsidRDefault="007E27FE"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7E27FE" w:rsidRPr="00500D4E" w:rsidRDefault="007E27FE"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7E27F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603576" w:rsidRDefault="007E27FE" w:rsidP="00CB7150">
      <w:pPr>
        <w:spacing w:after="0" w:line="240" w:lineRule="auto"/>
        <w:jc w:val="both"/>
        <w:rPr>
          <w:b/>
          <w:i/>
          <w:sz w:val="18"/>
          <w:szCs w:val="18"/>
          <w:u w:val="single"/>
        </w:rPr>
      </w:pPr>
      <w:r w:rsidRPr="00527164">
        <w:rPr>
          <w:b/>
          <w:i/>
          <w:sz w:val="18"/>
          <w:szCs w:val="18"/>
          <w:u w:val="single"/>
        </w:rPr>
        <w:t>kryteria oceny ofert i ich znaczenie:</w:t>
      </w:r>
    </w:p>
    <w:p w:rsidR="007E27FE" w:rsidRPr="00603576" w:rsidRDefault="007E27FE" w:rsidP="00BD04EA">
      <w:pPr>
        <w:numPr>
          <w:ilvl w:val="0"/>
          <w:numId w:val="20"/>
        </w:numPr>
        <w:spacing w:before="100" w:beforeAutospacing="1" w:after="100" w:afterAutospacing="1" w:line="240" w:lineRule="auto"/>
        <w:rPr>
          <w:color w:val="000000"/>
          <w:sz w:val="18"/>
          <w:szCs w:val="18"/>
          <w:lang w:eastAsia="pl-PL"/>
        </w:rPr>
      </w:pPr>
      <w:r>
        <w:rPr>
          <w:color w:val="000000"/>
          <w:sz w:val="18"/>
          <w:szCs w:val="18"/>
          <w:lang w:eastAsia="pl-PL"/>
        </w:rPr>
        <w:t>Cena: 100 % (100 pkt.)</w:t>
      </w:r>
      <w:r w:rsidRPr="00527164">
        <w:rPr>
          <w:color w:val="000000"/>
          <w:sz w:val="18"/>
          <w:szCs w:val="18"/>
          <w:lang w:eastAsia="pl-PL"/>
        </w:rPr>
        <w:t xml:space="preserve"> </w:t>
      </w:r>
    </w:p>
    <w:p w:rsidR="007E27FE" w:rsidRDefault="007E27FE" w:rsidP="00CB7150">
      <w:pPr>
        <w:spacing w:after="0" w:line="240" w:lineRule="auto"/>
        <w:jc w:val="both"/>
        <w:rPr>
          <w:sz w:val="18"/>
          <w:szCs w:val="18"/>
        </w:rPr>
      </w:pPr>
      <w:r w:rsidRPr="00527164">
        <w:rPr>
          <w:sz w:val="18"/>
          <w:szCs w:val="18"/>
        </w:rPr>
        <w:t>Zamawiający wybierze ofertę najkorzystniejszą na podstawie kryteriów oceny ofert określonych w SWZ. Za najkorzystniejszą uznana zostanie ta z ocenianych ofert, która uzyska maksymalną ocenę punktową (W</w:t>
      </w:r>
      <w:r w:rsidRPr="00527164">
        <w:rPr>
          <w:sz w:val="18"/>
          <w:szCs w:val="18"/>
          <w:vertAlign w:val="subscript"/>
        </w:rPr>
        <w:t>max</w:t>
      </w:r>
      <w:r w:rsidRPr="00527164">
        <w:rPr>
          <w:sz w:val="18"/>
          <w:szCs w:val="18"/>
        </w:rPr>
        <w:t>) wg poniższego wzoru. Dla powyższych kryteriów oceny ofert, Zamawiający będzie obliczał wartość punktową oferty (zaokrągloną do dwóch miejsc po przecinku) w oparciu o następujący wzór:</w:t>
      </w:r>
    </w:p>
    <w:p w:rsidR="007E27FE" w:rsidRPr="00527164" w:rsidRDefault="007E27FE" w:rsidP="00CB7150">
      <w:pPr>
        <w:spacing w:after="0" w:line="240" w:lineRule="auto"/>
        <w:jc w:val="both"/>
        <w:rPr>
          <w:sz w:val="18"/>
          <w:szCs w:val="18"/>
        </w:rPr>
      </w:pPr>
    </w:p>
    <w:p w:rsidR="007E27FE" w:rsidRPr="00527164" w:rsidRDefault="007E27FE" w:rsidP="00527164">
      <w:pPr>
        <w:pStyle w:val="Heading4"/>
        <w:pBdr>
          <w:top w:val="single" w:sz="4" w:space="1" w:color="auto"/>
          <w:left w:val="single" w:sz="4" w:space="4" w:color="auto"/>
          <w:bottom w:val="single" w:sz="4" w:space="1" w:color="auto"/>
          <w:right w:val="single" w:sz="4" w:space="4" w:color="auto"/>
        </w:pBdr>
        <w:rPr>
          <w:rFonts w:ascii="Calibri" w:hAnsi="Calibri"/>
          <w:sz w:val="18"/>
          <w:szCs w:val="18"/>
        </w:rPr>
      </w:pPr>
      <w:r>
        <w:rPr>
          <w:rFonts w:ascii="Calibri" w:hAnsi="Calibri"/>
          <w:sz w:val="18"/>
          <w:szCs w:val="18"/>
        </w:rPr>
        <w:t xml:space="preserve">W = C </w:t>
      </w:r>
    </w:p>
    <w:p w:rsidR="007E27FE" w:rsidRPr="00527164" w:rsidRDefault="007E27FE" w:rsidP="00527164">
      <w:pPr>
        <w:numPr>
          <w:ilvl w:val="12"/>
          <w:numId w:val="0"/>
        </w:numPr>
        <w:pBdr>
          <w:top w:val="single" w:sz="4" w:space="1" w:color="auto"/>
          <w:left w:val="single" w:sz="4" w:space="4" w:color="auto"/>
          <w:bottom w:val="single" w:sz="4" w:space="1" w:color="auto"/>
          <w:right w:val="single" w:sz="4" w:space="4" w:color="auto"/>
        </w:pBdr>
        <w:ind w:left="142" w:hanging="142"/>
        <w:jc w:val="both"/>
        <w:rPr>
          <w:rFonts w:cs="Tahoma"/>
          <w:b/>
          <w:sz w:val="18"/>
          <w:szCs w:val="18"/>
        </w:rPr>
      </w:pPr>
      <w:r w:rsidRPr="00527164">
        <w:rPr>
          <w:rFonts w:cs="Tahoma"/>
          <w:sz w:val="18"/>
          <w:szCs w:val="18"/>
        </w:rPr>
        <w:t>gdzie:</w:t>
      </w:r>
    </w:p>
    <w:p w:rsidR="007E27FE" w:rsidRPr="00527164" w:rsidRDefault="007E27FE" w:rsidP="00527164">
      <w:pPr>
        <w:pBdr>
          <w:top w:val="single" w:sz="4" w:space="1" w:color="auto"/>
          <w:left w:val="single" w:sz="4" w:space="4" w:color="auto"/>
          <w:bottom w:val="single" w:sz="4" w:space="1" w:color="auto"/>
          <w:right w:val="single" w:sz="4" w:space="4" w:color="auto"/>
        </w:pBdr>
        <w:spacing w:after="0" w:line="240" w:lineRule="auto"/>
        <w:jc w:val="both"/>
        <w:rPr>
          <w:rFonts w:cs="Tahoma"/>
          <w:b/>
          <w:sz w:val="18"/>
          <w:szCs w:val="18"/>
        </w:rPr>
      </w:pPr>
      <w:r w:rsidRPr="00527164">
        <w:rPr>
          <w:rFonts w:cs="Tahoma"/>
          <w:b/>
          <w:sz w:val="18"/>
          <w:szCs w:val="18"/>
        </w:rPr>
        <w:t>1. kryterium – Cena (C)</w:t>
      </w:r>
    </w:p>
    <w:p w:rsidR="007E27FE" w:rsidRPr="00527164" w:rsidRDefault="007E27FE" w:rsidP="00527164">
      <w:pPr>
        <w:numPr>
          <w:ilvl w:val="12"/>
          <w:numId w:val="0"/>
        </w:numPr>
        <w:pBdr>
          <w:top w:val="single" w:sz="4" w:space="1" w:color="auto"/>
          <w:left w:val="single" w:sz="4" w:space="4" w:color="auto"/>
          <w:bottom w:val="single" w:sz="4" w:space="1" w:color="auto"/>
          <w:right w:val="single" w:sz="4" w:space="4" w:color="auto"/>
        </w:pBdr>
        <w:jc w:val="both"/>
        <w:rPr>
          <w:rFonts w:cs="Tahoma"/>
          <w:sz w:val="18"/>
          <w:szCs w:val="18"/>
          <w:vertAlign w:val="subscript"/>
        </w:rPr>
      </w:pPr>
      <w:r w:rsidRPr="00527164">
        <w:rPr>
          <w:rFonts w:cs="Tahoma"/>
          <w:sz w:val="18"/>
          <w:szCs w:val="18"/>
        </w:rPr>
        <w:t xml:space="preserve">      C = R</w:t>
      </w:r>
      <w:r w:rsidRPr="00527164">
        <w:rPr>
          <w:rFonts w:cs="Tahoma"/>
          <w:sz w:val="18"/>
          <w:szCs w:val="18"/>
          <w:vertAlign w:val="subscript"/>
        </w:rPr>
        <w:t>1</w:t>
      </w:r>
      <w:r w:rsidRPr="00527164">
        <w:rPr>
          <w:rFonts w:cs="Tahoma"/>
          <w:sz w:val="18"/>
          <w:szCs w:val="18"/>
        </w:rPr>
        <w:t xml:space="preserve"> x C</w:t>
      </w:r>
      <w:r w:rsidRPr="00527164">
        <w:rPr>
          <w:rFonts w:cs="Tahoma"/>
          <w:sz w:val="18"/>
          <w:szCs w:val="18"/>
          <w:vertAlign w:val="subscript"/>
        </w:rPr>
        <w:t xml:space="preserve">min </w:t>
      </w:r>
      <w:r w:rsidRPr="00527164">
        <w:rPr>
          <w:rFonts w:cs="Tahoma"/>
          <w:sz w:val="18"/>
          <w:szCs w:val="18"/>
        </w:rPr>
        <w:t>/ C</w:t>
      </w:r>
      <w:r w:rsidRPr="00527164">
        <w:rPr>
          <w:rFonts w:cs="Tahoma"/>
          <w:sz w:val="18"/>
          <w:szCs w:val="18"/>
          <w:vertAlign w:val="subscript"/>
        </w:rPr>
        <w:t>b</w:t>
      </w:r>
    </w:p>
    <w:p w:rsidR="007E27FE" w:rsidRPr="00527164" w:rsidRDefault="007E27FE"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sz w:val="18"/>
          <w:szCs w:val="18"/>
        </w:rPr>
      </w:pPr>
      <w:r w:rsidRPr="00527164">
        <w:rPr>
          <w:rFonts w:cs="Tahoma"/>
          <w:sz w:val="18"/>
          <w:szCs w:val="18"/>
        </w:rPr>
        <w:t xml:space="preserve">      C</w:t>
      </w:r>
      <w:r w:rsidRPr="00527164">
        <w:rPr>
          <w:rFonts w:cs="Tahoma"/>
          <w:sz w:val="18"/>
          <w:szCs w:val="18"/>
          <w:vertAlign w:val="subscript"/>
        </w:rPr>
        <w:t xml:space="preserve">min </w:t>
      </w:r>
      <w:r w:rsidRPr="00527164">
        <w:rPr>
          <w:rFonts w:cs="Tahoma"/>
          <w:sz w:val="18"/>
          <w:szCs w:val="18"/>
          <w:vertAlign w:val="subscript"/>
        </w:rPr>
        <w:tab/>
      </w:r>
      <w:r w:rsidRPr="00527164">
        <w:rPr>
          <w:rFonts w:cs="Tahoma"/>
          <w:sz w:val="18"/>
          <w:szCs w:val="18"/>
        </w:rPr>
        <w:t xml:space="preserve">– </w:t>
      </w:r>
      <w:r w:rsidRPr="00527164">
        <w:rPr>
          <w:rFonts w:cs="Tahoma"/>
          <w:sz w:val="18"/>
          <w:szCs w:val="18"/>
        </w:rPr>
        <w:tab/>
        <w:t xml:space="preserve">cena oferty najtańszej </w:t>
      </w:r>
    </w:p>
    <w:p w:rsidR="007E27FE" w:rsidRPr="00527164" w:rsidRDefault="007E27FE"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sz w:val="18"/>
          <w:szCs w:val="18"/>
        </w:rPr>
      </w:pPr>
      <w:r w:rsidRPr="00527164">
        <w:rPr>
          <w:rFonts w:cs="Tahoma"/>
          <w:sz w:val="18"/>
          <w:szCs w:val="18"/>
        </w:rPr>
        <w:t xml:space="preserve">      C</w:t>
      </w:r>
      <w:r w:rsidRPr="00527164">
        <w:rPr>
          <w:rFonts w:cs="Tahoma"/>
          <w:sz w:val="18"/>
          <w:szCs w:val="18"/>
          <w:vertAlign w:val="subscript"/>
        </w:rPr>
        <w:t>b</w:t>
      </w:r>
      <w:r w:rsidRPr="00527164">
        <w:rPr>
          <w:rFonts w:cs="Tahoma"/>
          <w:sz w:val="18"/>
          <w:szCs w:val="18"/>
        </w:rPr>
        <w:tab/>
        <w:t xml:space="preserve">– </w:t>
      </w:r>
      <w:r w:rsidRPr="00527164">
        <w:rPr>
          <w:rFonts w:cs="Tahoma"/>
          <w:sz w:val="18"/>
          <w:szCs w:val="18"/>
        </w:rPr>
        <w:tab/>
        <w:t>cena oferty badanej</w:t>
      </w:r>
    </w:p>
    <w:p w:rsidR="007E27FE" w:rsidRPr="00527164" w:rsidRDefault="007E27FE"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b/>
          <w:sz w:val="18"/>
          <w:szCs w:val="18"/>
        </w:rPr>
      </w:pPr>
      <w:r w:rsidRPr="00527164">
        <w:rPr>
          <w:rFonts w:cs="Tahoma"/>
          <w:sz w:val="18"/>
          <w:szCs w:val="18"/>
        </w:rPr>
        <w:t xml:space="preserve">      R</w:t>
      </w:r>
      <w:r w:rsidRPr="00527164">
        <w:rPr>
          <w:rFonts w:cs="Tahoma"/>
          <w:sz w:val="18"/>
          <w:szCs w:val="18"/>
          <w:vertAlign w:val="subscript"/>
        </w:rPr>
        <w:t>1</w:t>
      </w:r>
      <w:r w:rsidRPr="00527164">
        <w:rPr>
          <w:rFonts w:cs="Tahoma"/>
          <w:sz w:val="18"/>
          <w:szCs w:val="18"/>
        </w:rPr>
        <w:tab/>
        <w:t xml:space="preserve">– </w:t>
      </w:r>
      <w:r w:rsidRPr="00527164">
        <w:rPr>
          <w:rFonts w:cs="Tahoma"/>
          <w:sz w:val="18"/>
          <w:szCs w:val="18"/>
        </w:rPr>
        <w:tab/>
        <w:t xml:space="preserve">znaczenie procentowe kryterium </w:t>
      </w:r>
      <w:r w:rsidRPr="00527164">
        <w:rPr>
          <w:rFonts w:cs="Tahoma"/>
          <w:b/>
          <w:sz w:val="18"/>
          <w:szCs w:val="18"/>
        </w:rPr>
        <w:t>Cena</w:t>
      </w:r>
    </w:p>
    <w:p w:rsidR="007E27FE" w:rsidRPr="00527164" w:rsidRDefault="007E27FE" w:rsidP="00CB7150">
      <w:pPr>
        <w:numPr>
          <w:ilvl w:val="12"/>
          <w:numId w:val="0"/>
        </w:numPr>
        <w:tabs>
          <w:tab w:val="left" w:pos="1134"/>
          <w:tab w:val="left" w:pos="1418"/>
          <w:tab w:val="left" w:pos="4257"/>
        </w:tabs>
        <w:spacing w:after="0" w:line="240" w:lineRule="auto"/>
        <w:ind w:left="1418"/>
        <w:rPr>
          <w:rFonts w:cs="Tahoma"/>
          <w:b/>
          <w:sz w:val="18"/>
          <w:szCs w:val="18"/>
        </w:rPr>
      </w:pPr>
      <w:r w:rsidRPr="00527164">
        <w:rPr>
          <w:rFonts w:cs="Tahoma"/>
          <w:b/>
          <w:sz w:val="18"/>
          <w:szCs w:val="18"/>
        </w:rPr>
        <w:tab/>
      </w:r>
    </w:p>
    <w:p w:rsidR="007E27FE" w:rsidRPr="005C203A" w:rsidRDefault="007E27FE" w:rsidP="00CB7150">
      <w:pPr>
        <w:spacing w:after="0" w:line="240" w:lineRule="auto"/>
        <w:rPr>
          <w:sz w:val="18"/>
          <w:szCs w:val="18"/>
        </w:rPr>
      </w:pPr>
      <w:r w:rsidRPr="005C203A">
        <w:rPr>
          <w:sz w:val="18"/>
          <w:szCs w:val="18"/>
        </w:rPr>
        <w:t xml:space="preserve">Sposób dokonania wyboru – </w:t>
      </w:r>
      <w:r w:rsidRPr="005C203A">
        <w:rPr>
          <w:b/>
          <w:sz w:val="18"/>
          <w:szCs w:val="18"/>
        </w:rPr>
        <w:t>najwyższa punktacja za cały przedmiot zamówienia</w:t>
      </w:r>
      <w:r>
        <w:rPr>
          <w:b/>
          <w:sz w:val="18"/>
          <w:szCs w:val="18"/>
        </w:rPr>
        <w:t>.</w:t>
      </w:r>
    </w:p>
    <w:p w:rsidR="007E27FE" w:rsidRPr="005C203A"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spacing w:after="0" w:line="240" w:lineRule="auto"/>
        <w:rPr>
          <w:rFonts w:ascii="Verdana" w:hAnsi="Verdana"/>
          <w:sz w:val="18"/>
          <w:szCs w:val="18"/>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7E27FE" w:rsidRPr="00500D4E" w:rsidRDefault="007E27FE" w:rsidP="00500D4E">
      <w:pPr>
        <w:spacing w:after="0" w:line="240" w:lineRule="auto"/>
        <w:jc w:val="both"/>
        <w:rPr>
          <w:rFonts w:cs="Calibri"/>
          <w:sz w:val="20"/>
          <w:szCs w:val="20"/>
          <w:lang w:eastAsia="pl-PL"/>
        </w:rPr>
      </w:pP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7E27FE" w:rsidRPr="00500D4E" w:rsidRDefault="007E27FE" w:rsidP="00500D4E">
      <w:pPr>
        <w:spacing w:after="0" w:line="240" w:lineRule="auto"/>
        <w:jc w:val="both"/>
        <w:rPr>
          <w:rFonts w:cs="Calibri"/>
          <w:sz w:val="20"/>
          <w:szCs w:val="20"/>
          <w:lang w:eastAsia="pl-PL"/>
        </w:rPr>
      </w:pPr>
      <w:r>
        <w:rPr>
          <w:rFonts w:cs="Calibri"/>
          <w:sz w:val="20"/>
          <w:szCs w:val="20"/>
          <w:lang w:eastAsia="pl-PL"/>
        </w:rPr>
        <w:t>Zamawiający nie dopuszcza składania ofert częściowych. Zamówienie stanowi całość pod względem funkcjonalnym i użytkowym – jeden wykonawca musi być odpowiedzialny za prawidłowe funkcjonowanie całego modernizowanego urządzenia. Ofertę należy złożyć na całość przedmiotu zamówienia.</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7E27FE" w:rsidRPr="00500D4E" w:rsidRDefault="007E27FE" w:rsidP="00500D4E">
      <w:pPr>
        <w:spacing w:after="0" w:line="240" w:lineRule="auto"/>
        <w:jc w:val="both"/>
        <w:rPr>
          <w:rFonts w:cs="Calibri"/>
          <w:sz w:val="20"/>
          <w:szCs w:val="20"/>
          <w:lang w:eastAsia="pl-PL"/>
        </w:rPr>
      </w:pPr>
      <w:r>
        <w:rPr>
          <w:rFonts w:cs="Calibri"/>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7E27FE" w:rsidRPr="00500D4E" w:rsidRDefault="007E27FE"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7E27F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Default="007E27FE"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7E27FE" w:rsidRPr="00500D4E" w:rsidRDefault="007E27FE"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ind w:left="284" w:hanging="284"/>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ind w:left="284" w:hanging="284"/>
        <w:jc w:val="both"/>
        <w:rPr>
          <w:rFonts w:cs="Calibri"/>
          <w:b/>
          <w:i/>
          <w:color w:val="000000"/>
          <w:sz w:val="20"/>
          <w:szCs w:val="20"/>
          <w:lang w:eastAsia="pl-PL"/>
        </w:rPr>
      </w:pPr>
    </w:p>
    <w:p w:rsidR="007E27FE" w:rsidRPr="00500D4E" w:rsidRDefault="007E27F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7E27FE" w:rsidRPr="00500D4E" w:rsidRDefault="007E27FE" w:rsidP="00500D4E">
      <w:pPr>
        <w:autoSpaceDE w:val="0"/>
        <w:autoSpaceDN w:val="0"/>
        <w:adjustRightInd w:val="0"/>
        <w:spacing w:after="0" w:line="240" w:lineRule="auto"/>
        <w:jc w:val="both"/>
        <w:rPr>
          <w:rFonts w:cs="Calibri"/>
          <w:color w:val="000000"/>
          <w:sz w:val="20"/>
          <w:szCs w:val="20"/>
          <w:lang w:eastAsia="pl-PL"/>
        </w:rPr>
      </w:pPr>
    </w:p>
    <w:p w:rsidR="007E27FE" w:rsidRPr="00500D4E" w:rsidRDefault="007E27FE"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7E27FE" w:rsidRPr="007F0F69" w:rsidRDefault="007E27FE"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7E27FE" w:rsidRPr="002C14D1" w:rsidRDefault="007E27F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7E27FE" w:rsidRPr="005C203A" w:rsidRDefault="007E27FE"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7E27FE" w:rsidRPr="002C14D1" w:rsidRDefault="007E27FE"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7E27FE" w:rsidRPr="005C203A" w:rsidRDefault="007E27FE"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7E27FE" w:rsidRPr="002C14D1" w:rsidRDefault="007E27F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7E27FE" w:rsidRPr="00DA35F7" w:rsidRDefault="007E27FE"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ZP/9/21</w:t>
      </w:r>
      <w:r w:rsidRPr="00B21AB9">
        <w:rPr>
          <w:rFonts w:ascii="Verdana" w:hAnsi="Verdana" w:cs="Tahoma"/>
          <w:b/>
          <w:sz w:val="16"/>
        </w:rPr>
        <w:t xml:space="preserve"> </w:t>
      </w:r>
      <w:r w:rsidRPr="00DA35F7">
        <w:rPr>
          <w:rFonts w:ascii="Verdana" w:hAnsi="Verdana" w:cs="Tahoma"/>
          <w:b/>
          <w:sz w:val="16"/>
        </w:rPr>
        <w:t>Modernizacja istniejącego w Sieć Badawcza Łukasiewicz - Krakowskim Instytucie Technologicznym urządzenia NNV-6.6 I1UHL4 do nanoszenia powłok metodą PVD</w:t>
      </w:r>
    </w:p>
    <w:p w:rsidR="007E27FE" w:rsidRPr="00093692" w:rsidRDefault="007E27FE"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ZP/9</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7E27FE" w:rsidRPr="002C14D1" w:rsidRDefault="007E27F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7E27FE" w:rsidRPr="002C14D1" w:rsidRDefault="007E27FE"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7E27FE" w:rsidRPr="002C14D1" w:rsidRDefault="007E27FE" w:rsidP="00051DAB">
      <w:pPr>
        <w:pStyle w:val="Akapitzlist3"/>
        <w:numPr>
          <w:ilvl w:val="1"/>
          <w:numId w:val="1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7E27FE" w:rsidRPr="002C14D1" w:rsidRDefault="007E27FE" w:rsidP="00051DAB">
      <w:pPr>
        <w:pStyle w:val="Akapitzlist3"/>
        <w:numPr>
          <w:ilvl w:val="1"/>
          <w:numId w:val="1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7E27FE" w:rsidRPr="002C14D1" w:rsidRDefault="007E27FE" w:rsidP="00051DAB">
      <w:pPr>
        <w:pStyle w:val="Akapitzlist3"/>
        <w:numPr>
          <w:ilvl w:val="1"/>
          <w:numId w:val="1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7E27FE" w:rsidRPr="002C14D1" w:rsidRDefault="007E27FE" w:rsidP="00051DAB">
      <w:pPr>
        <w:pStyle w:val="Akapitzlist3"/>
        <w:numPr>
          <w:ilvl w:val="1"/>
          <w:numId w:val="1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7E27FE" w:rsidRPr="002C14D1" w:rsidRDefault="007E27FE" w:rsidP="00051DAB">
      <w:pPr>
        <w:pStyle w:val="Akapitzlist3"/>
        <w:numPr>
          <w:ilvl w:val="1"/>
          <w:numId w:val="1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7E27FE" w:rsidRPr="000F489C" w:rsidRDefault="007E27FE"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7E27FE" w:rsidRPr="002C14D1" w:rsidRDefault="007E27F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7E27FE" w:rsidRPr="002C14D1" w:rsidRDefault="007E27FE"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7E27FE" w:rsidRPr="00B679CD" w:rsidRDefault="007E27FE"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7E27FE" w:rsidRPr="00B679CD" w:rsidRDefault="007E27FE"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7E27FE" w:rsidRPr="00B679CD" w:rsidRDefault="007E27FE" w:rsidP="00051DAB">
      <w:pPr>
        <w:pStyle w:val="divpara"/>
        <w:numPr>
          <w:ilvl w:val="0"/>
          <w:numId w:val="1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7E27FE" w:rsidRPr="00B679CD" w:rsidRDefault="007E27FE" w:rsidP="00051DAB">
      <w:pPr>
        <w:pStyle w:val="divpara"/>
        <w:numPr>
          <w:ilvl w:val="0"/>
          <w:numId w:val="1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7E27FE" w:rsidRPr="00B679CD" w:rsidRDefault="007E27FE" w:rsidP="00051DAB">
      <w:pPr>
        <w:pStyle w:val="divpara"/>
        <w:numPr>
          <w:ilvl w:val="0"/>
          <w:numId w:val="1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7E27FE" w:rsidRDefault="007E27FE" w:rsidP="00051DAB">
      <w:pPr>
        <w:pStyle w:val="divpara"/>
        <w:numPr>
          <w:ilvl w:val="0"/>
          <w:numId w:val="1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7E27FE" w:rsidRDefault="007E27FE" w:rsidP="00C34697">
      <w:pPr>
        <w:pStyle w:val="Default"/>
        <w:jc w:val="both"/>
        <w:rPr>
          <w:rFonts w:ascii="Cambria" w:hAnsi="Cambria"/>
          <w:sz w:val="20"/>
          <w:szCs w:val="20"/>
        </w:rPr>
      </w:pPr>
    </w:p>
    <w:p w:rsidR="007E27FE" w:rsidRDefault="007E27FE"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7E27FE" w:rsidRPr="00B679CD" w:rsidRDefault="007E27FE"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7E27FE" w:rsidRPr="00B679CD" w:rsidRDefault="007E27FE" w:rsidP="00051DAB">
      <w:pPr>
        <w:pStyle w:val="divpara"/>
        <w:numPr>
          <w:ilvl w:val="0"/>
          <w:numId w:val="1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7E27FE" w:rsidRPr="00B679CD" w:rsidRDefault="007E27FE" w:rsidP="00051DAB">
      <w:pPr>
        <w:pStyle w:val="divpara"/>
        <w:numPr>
          <w:ilvl w:val="0"/>
          <w:numId w:val="1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7E27FE" w:rsidRPr="00B679CD" w:rsidRDefault="007E27FE" w:rsidP="00051DAB">
      <w:pPr>
        <w:pStyle w:val="divpara"/>
        <w:numPr>
          <w:ilvl w:val="0"/>
          <w:numId w:val="1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7E27FE" w:rsidRDefault="007E27FE" w:rsidP="00C34697">
      <w:pPr>
        <w:pStyle w:val="Default"/>
        <w:ind w:hanging="360"/>
        <w:jc w:val="both"/>
        <w:rPr>
          <w:rFonts w:ascii="Cambria" w:hAnsi="Cambria"/>
          <w:sz w:val="20"/>
          <w:szCs w:val="20"/>
        </w:rPr>
      </w:pPr>
    </w:p>
    <w:p w:rsidR="007E27FE" w:rsidRPr="002C14D1" w:rsidRDefault="007E27FE"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7E27FE" w:rsidRPr="00683F08" w:rsidRDefault="007E27FE"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E27FE" w:rsidRPr="002C14D1" w:rsidRDefault="007E27FE"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7E27FE" w:rsidRPr="00683F08" w:rsidRDefault="007E27FE"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7E27FE" w:rsidRPr="0072159C" w:rsidRDefault="007E27FE" w:rsidP="00C34697">
      <w:pPr>
        <w:rPr>
          <w:rFonts w:ascii="Cambria" w:hAnsi="Cambria"/>
          <w:sz w:val="18"/>
          <w:szCs w:val="18"/>
        </w:rPr>
      </w:pPr>
      <w:r w:rsidRPr="0072159C">
        <w:rPr>
          <w:rFonts w:ascii="Cambria" w:hAnsi="Cambria"/>
          <w:sz w:val="18"/>
          <w:szCs w:val="18"/>
        </w:rPr>
        <w:t>Wyjaśnienie:</w:t>
      </w:r>
    </w:p>
    <w:p w:rsidR="007E27FE" w:rsidRPr="0072159C" w:rsidRDefault="007E27FE"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7E27FE" w:rsidRPr="00093692" w:rsidRDefault="007E27FE"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27FE" w:rsidRPr="00500D4E" w:rsidRDefault="007E27FE" w:rsidP="00500D4E">
      <w:pPr>
        <w:spacing w:after="0" w:line="240" w:lineRule="auto"/>
        <w:rPr>
          <w:rFonts w:cs="Calibri"/>
          <w:sz w:val="20"/>
          <w:szCs w:val="20"/>
          <w:lang w:eastAsia="pl-PL"/>
        </w:rPr>
      </w:pPr>
    </w:p>
    <w:p w:rsidR="007E27FE" w:rsidRPr="00500D4E" w:rsidRDefault="007E27FE"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7E27FE" w:rsidRPr="00500D4E" w:rsidRDefault="007E27FE"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7E27FE" w:rsidRPr="00500D4E" w:rsidRDefault="007E27FE"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7E27FE" w:rsidRPr="00500D4E" w:rsidRDefault="007E27FE"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7E27FE" w:rsidRPr="00500D4E" w:rsidRDefault="007E27FE"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7E27FE" w:rsidRPr="00500D4E" w:rsidRDefault="007E27FE"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7E27FE" w:rsidRPr="00500D4E" w:rsidRDefault="007E27FE"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Pr="00500D4E" w:rsidRDefault="007E27FE" w:rsidP="00500D4E">
      <w:pPr>
        <w:tabs>
          <w:tab w:val="left" w:pos="567"/>
        </w:tabs>
        <w:spacing w:after="0" w:line="360" w:lineRule="auto"/>
        <w:jc w:val="cente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Default="007E27FE" w:rsidP="00683F08">
      <w:pPr>
        <w:rPr>
          <w:rFonts w:cs="Calibri"/>
          <w:b/>
          <w:bCs/>
          <w:iCs/>
          <w:sz w:val="20"/>
          <w:szCs w:val="20"/>
          <w:lang w:eastAsia="pl-PL"/>
        </w:rPr>
      </w:pPr>
    </w:p>
    <w:p w:rsidR="007E27FE" w:rsidRPr="00500D4E" w:rsidRDefault="007E27FE" w:rsidP="00683F08">
      <w:pPr>
        <w:rPr>
          <w:rFonts w:cs="Calibri"/>
          <w:b/>
          <w:bCs/>
          <w:iCs/>
          <w:sz w:val="20"/>
          <w:szCs w:val="20"/>
          <w:lang w:eastAsia="pl-PL"/>
        </w:rPr>
      </w:pPr>
    </w:p>
    <w:p w:rsidR="007E27FE" w:rsidRDefault="007E27FE" w:rsidP="00500D4E">
      <w:pPr>
        <w:tabs>
          <w:tab w:val="left" w:pos="567"/>
        </w:tabs>
        <w:spacing w:after="0" w:line="360" w:lineRule="auto"/>
        <w:jc w:val="center"/>
        <w:rPr>
          <w:rFonts w:cs="Calibri"/>
          <w:b/>
          <w:bCs/>
          <w:iCs/>
          <w:sz w:val="24"/>
          <w:szCs w:val="24"/>
          <w:u w:val="single"/>
          <w:lang w:eastAsia="pl-PL"/>
        </w:rPr>
      </w:pPr>
    </w:p>
    <w:p w:rsidR="007E27FE" w:rsidRPr="00500D4E" w:rsidRDefault="007E27FE"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7E27FE" w:rsidRDefault="007E27FE"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7E27FE" w:rsidRPr="00D877F4" w:rsidRDefault="007E27FE"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7E27FE" w:rsidRPr="00D877F4" w:rsidRDefault="007E27FE"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7E27FE" w:rsidRPr="00500D4E" w:rsidRDefault="007E27FE" w:rsidP="00500D4E">
      <w:pPr>
        <w:spacing w:after="0" w:line="240" w:lineRule="auto"/>
        <w:rPr>
          <w:rFonts w:cs="Calibri"/>
          <w:b/>
          <w:bCs/>
          <w:sz w:val="20"/>
          <w:szCs w:val="20"/>
          <w:lang w:eastAsia="pl-PL"/>
        </w:rPr>
      </w:pPr>
      <w:r w:rsidRPr="00500D4E">
        <w:rPr>
          <w:rFonts w:cs="Calibri"/>
          <w:b/>
          <w:bCs/>
          <w:sz w:val="20"/>
          <w:szCs w:val="20"/>
          <w:lang w:eastAsia="pl-PL"/>
        </w:rPr>
        <w:t>Wykonawca:</w:t>
      </w:r>
    </w:p>
    <w:p w:rsidR="007E27FE" w:rsidRPr="00500D4E" w:rsidRDefault="007E27FE" w:rsidP="00500D4E">
      <w:pPr>
        <w:spacing w:after="0" w:line="240" w:lineRule="auto"/>
        <w:rPr>
          <w:rFonts w:cs="Calibri"/>
          <w:b/>
          <w:bCs/>
          <w:sz w:val="20"/>
          <w:szCs w:val="20"/>
          <w:lang w:eastAsia="pl-PL"/>
        </w:rPr>
      </w:pPr>
    </w:p>
    <w:p w:rsidR="007E27FE" w:rsidRPr="00500D4E" w:rsidRDefault="007E27FE" w:rsidP="00500D4E">
      <w:pPr>
        <w:spacing w:after="0" w:line="240" w:lineRule="auto"/>
        <w:ind w:right="5954"/>
        <w:rPr>
          <w:rFonts w:cs="Calibri"/>
          <w:sz w:val="20"/>
          <w:szCs w:val="20"/>
          <w:lang w:eastAsia="pl-PL"/>
        </w:rPr>
      </w:pPr>
      <w:r w:rsidRPr="00500D4E">
        <w:rPr>
          <w:rFonts w:cs="Calibri"/>
          <w:sz w:val="20"/>
          <w:szCs w:val="20"/>
          <w:lang w:eastAsia="pl-PL"/>
        </w:rPr>
        <w:t>………………..………………………………………</w:t>
      </w:r>
    </w:p>
    <w:p w:rsidR="007E27FE" w:rsidRPr="00500D4E" w:rsidRDefault="007E27FE"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7E27FE" w:rsidRPr="00500D4E" w:rsidRDefault="007E27FE" w:rsidP="00500D4E">
      <w:pPr>
        <w:spacing w:after="0" w:line="240" w:lineRule="auto"/>
        <w:ind w:right="5954"/>
        <w:rPr>
          <w:rFonts w:cs="Calibri"/>
          <w:sz w:val="20"/>
          <w:szCs w:val="20"/>
          <w:lang w:eastAsia="pl-PL"/>
        </w:rPr>
      </w:pPr>
      <w:r w:rsidRPr="00500D4E">
        <w:rPr>
          <w:rFonts w:cs="Calibri"/>
          <w:sz w:val="20"/>
          <w:szCs w:val="20"/>
          <w:lang w:eastAsia="pl-PL"/>
        </w:rPr>
        <w:t>………………..………………………………………</w:t>
      </w:r>
    </w:p>
    <w:p w:rsidR="007E27FE" w:rsidRPr="00500D4E" w:rsidRDefault="007E27FE"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7E27FE" w:rsidRPr="00500D4E" w:rsidRDefault="007E27FE" w:rsidP="00500D4E">
      <w:pPr>
        <w:spacing w:after="0" w:line="240" w:lineRule="auto"/>
        <w:ind w:right="5954"/>
        <w:rPr>
          <w:rFonts w:cs="Calibri"/>
          <w:sz w:val="20"/>
          <w:szCs w:val="20"/>
          <w:lang w:eastAsia="pl-PL"/>
        </w:rPr>
      </w:pPr>
      <w:r w:rsidRPr="00500D4E">
        <w:rPr>
          <w:rFonts w:cs="Calibri"/>
          <w:sz w:val="20"/>
          <w:szCs w:val="20"/>
          <w:lang w:eastAsia="pl-PL"/>
        </w:rPr>
        <w:t>………………..………………………………………</w:t>
      </w:r>
    </w:p>
    <w:p w:rsidR="007E27FE" w:rsidRPr="00500D4E" w:rsidRDefault="007E27FE"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7E27FE" w:rsidRPr="00500D4E" w:rsidRDefault="007E27FE"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7E27FE" w:rsidRPr="00500D4E" w:rsidRDefault="007E27FE"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7E27FE" w:rsidRPr="00500D4E" w:rsidRDefault="007E27FE"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7E27FE" w:rsidRPr="00500D4E" w:rsidRDefault="007E27FE"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7E27FE" w:rsidRPr="00500D4E" w:rsidRDefault="007E27FE" w:rsidP="00500D4E">
      <w:pPr>
        <w:spacing w:after="0" w:line="240" w:lineRule="auto"/>
        <w:rPr>
          <w:rFonts w:cs="Calibri"/>
          <w:sz w:val="20"/>
          <w:szCs w:val="20"/>
          <w:u w:val="single"/>
          <w:lang w:eastAsia="pl-PL"/>
        </w:rPr>
      </w:pPr>
    </w:p>
    <w:p w:rsidR="007E27FE" w:rsidRPr="00500D4E" w:rsidRDefault="007E27FE" w:rsidP="00500D4E">
      <w:pPr>
        <w:spacing w:after="0" w:line="240" w:lineRule="auto"/>
        <w:ind w:right="5954"/>
        <w:rPr>
          <w:rFonts w:cs="Calibri"/>
          <w:sz w:val="20"/>
          <w:szCs w:val="20"/>
          <w:lang w:eastAsia="pl-PL"/>
        </w:rPr>
      </w:pPr>
      <w:r w:rsidRPr="00500D4E">
        <w:rPr>
          <w:rFonts w:cs="Calibri"/>
          <w:sz w:val="20"/>
          <w:szCs w:val="20"/>
          <w:lang w:eastAsia="pl-PL"/>
        </w:rPr>
        <w:t>………………….............................……</w:t>
      </w:r>
    </w:p>
    <w:p w:rsidR="007E27FE" w:rsidRPr="00500D4E" w:rsidRDefault="007E27FE"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7E27FE" w:rsidRPr="00500D4E" w:rsidRDefault="007E27FE" w:rsidP="00500D4E">
      <w:pPr>
        <w:spacing w:after="0" w:line="240" w:lineRule="auto"/>
        <w:ind w:right="44"/>
        <w:rPr>
          <w:rFonts w:cs="Calibri"/>
          <w:i/>
          <w:iCs/>
          <w:sz w:val="20"/>
          <w:szCs w:val="20"/>
          <w:lang w:eastAsia="pl-PL"/>
        </w:rPr>
      </w:pPr>
    </w:p>
    <w:p w:rsidR="007E27FE" w:rsidRPr="00500D4E" w:rsidRDefault="007E27FE" w:rsidP="00500D4E">
      <w:pPr>
        <w:spacing w:after="0" w:line="240" w:lineRule="auto"/>
        <w:ind w:right="44"/>
        <w:rPr>
          <w:rFonts w:cs="Calibri"/>
          <w:i/>
          <w:iCs/>
          <w:sz w:val="20"/>
          <w:szCs w:val="20"/>
          <w:lang w:eastAsia="pl-PL"/>
        </w:rPr>
      </w:pPr>
    </w:p>
    <w:p w:rsidR="007E27FE" w:rsidRPr="00500D4E" w:rsidRDefault="007E27FE"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7E27FE" w:rsidRPr="00500D4E" w:rsidRDefault="007E27FE"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7E27FE" w:rsidRPr="00500D4E" w:rsidRDefault="007E27FE"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7E27FE" w:rsidRPr="00500D4E" w:rsidRDefault="007E27FE"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7E27FE" w:rsidRPr="00500D4E" w:rsidRDefault="007E27FE" w:rsidP="00500D4E">
      <w:pPr>
        <w:spacing w:after="0" w:line="360" w:lineRule="auto"/>
        <w:jc w:val="both"/>
        <w:rPr>
          <w:rFonts w:cs="Calibri"/>
          <w:sz w:val="20"/>
          <w:szCs w:val="20"/>
          <w:lang w:eastAsia="pl-PL"/>
        </w:rPr>
      </w:pPr>
    </w:p>
    <w:p w:rsidR="007E27FE" w:rsidRPr="002B1BC5" w:rsidRDefault="007E27FE" w:rsidP="00D55018">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pn.</w:t>
      </w:r>
      <w:r w:rsidRPr="009B17BF">
        <w:t xml:space="preserve"> </w:t>
      </w:r>
      <w:r w:rsidRPr="009B17BF">
        <w:rPr>
          <w:rFonts w:cs="Calibri"/>
          <w:b/>
          <w:sz w:val="20"/>
          <w:szCs w:val="20"/>
          <w:lang w:eastAsia="pl-PL"/>
        </w:rPr>
        <w:t>Modernizacja istniejącego w Sieć Badawcza Łukasiewicz - Krakowskim Instytucie Technologicznym urządzenia NNV-6.6 I1UHL4 do nanoszenia powłok metodą PVD</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7E27FE" w:rsidRPr="00500D4E" w:rsidRDefault="007E27FE" w:rsidP="00500D4E">
      <w:pPr>
        <w:spacing w:after="0" w:line="360" w:lineRule="auto"/>
        <w:jc w:val="both"/>
        <w:rPr>
          <w:rFonts w:cs="Calibri"/>
          <w:sz w:val="20"/>
          <w:szCs w:val="20"/>
          <w:lang w:eastAsia="pl-PL"/>
        </w:rPr>
      </w:pPr>
    </w:p>
    <w:p w:rsidR="007E27FE" w:rsidRPr="00500D4E" w:rsidRDefault="007E27FE"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7E27FE" w:rsidRDefault="007E27FE" w:rsidP="002E4462">
      <w:pPr>
        <w:spacing w:after="0" w:line="360" w:lineRule="auto"/>
        <w:ind w:left="360"/>
        <w:jc w:val="both"/>
        <w:rPr>
          <w:rFonts w:cs="Calibri"/>
          <w:sz w:val="20"/>
          <w:szCs w:val="20"/>
        </w:rPr>
      </w:pPr>
    </w:p>
    <w:p w:rsidR="007E27FE" w:rsidRPr="002248F0" w:rsidRDefault="007E27FE" w:rsidP="002248F0">
      <w:pPr>
        <w:numPr>
          <w:ilvl w:val="0"/>
          <w:numId w:val="9"/>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7E27FE" w:rsidRPr="00500D4E" w:rsidRDefault="007E27FE" w:rsidP="00500D4E">
      <w:pPr>
        <w:spacing w:after="0" w:line="360" w:lineRule="auto"/>
        <w:jc w:val="both"/>
        <w:rPr>
          <w:rFonts w:cs="Calibri"/>
          <w:i/>
          <w:iCs/>
          <w:sz w:val="20"/>
          <w:szCs w:val="20"/>
          <w:lang w:eastAsia="pl-PL"/>
        </w:rPr>
      </w:pPr>
    </w:p>
    <w:p w:rsidR="007E27FE" w:rsidRPr="00683F08" w:rsidRDefault="007E27FE" w:rsidP="00683F08">
      <w:pPr>
        <w:numPr>
          <w:ilvl w:val="0"/>
          <w:numId w:val="9"/>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7E27FE" w:rsidRPr="00500D4E" w:rsidRDefault="007E27FE" w:rsidP="00500D4E">
      <w:pPr>
        <w:spacing w:after="0" w:line="360" w:lineRule="auto"/>
        <w:jc w:val="both"/>
        <w:rPr>
          <w:rFonts w:cs="Calibri"/>
          <w:sz w:val="20"/>
          <w:szCs w:val="20"/>
          <w:lang w:eastAsia="pl-PL"/>
        </w:rPr>
      </w:pPr>
    </w:p>
    <w:p w:rsidR="007E27FE" w:rsidRPr="00500D4E" w:rsidRDefault="007E27FE"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7E27FE" w:rsidRPr="00500D4E" w:rsidRDefault="007E27FE"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7E27FE" w:rsidRPr="00500D4E" w:rsidRDefault="007E27FE" w:rsidP="00500D4E">
      <w:pPr>
        <w:spacing w:after="0" w:line="360" w:lineRule="auto"/>
        <w:jc w:val="both"/>
        <w:rPr>
          <w:rFonts w:cs="Calibri"/>
          <w:sz w:val="20"/>
          <w:szCs w:val="20"/>
          <w:lang w:eastAsia="pl-PL"/>
        </w:rPr>
      </w:pPr>
    </w:p>
    <w:p w:rsidR="007E27FE" w:rsidRPr="00500D4E" w:rsidRDefault="007E27FE"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7E27FE" w:rsidRPr="00500D4E" w:rsidRDefault="007E27FE" w:rsidP="00500D4E">
      <w:pPr>
        <w:spacing w:after="0" w:line="360" w:lineRule="auto"/>
        <w:rPr>
          <w:rFonts w:cs="Calibri"/>
          <w:bCs/>
          <w:sz w:val="20"/>
          <w:szCs w:val="20"/>
          <w:lang w:eastAsia="pl-PL"/>
        </w:rPr>
      </w:pPr>
    </w:p>
    <w:p w:rsidR="007E27FE" w:rsidRPr="00500D4E" w:rsidRDefault="007E27FE"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7E27FE" w:rsidRDefault="007E27FE" w:rsidP="00D35392">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7E27FE" w:rsidRDefault="007E27FE" w:rsidP="00D35392">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7E27FE" w:rsidRPr="00500D4E" w:rsidRDefault="007E27FE" w:rsidP="00D35392">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7E27FE" w:rsidRPr="00500D4E" w:rsidRDefault="007E27FE" w:rsidP="00500D4E">
      <w:pPr>
        <w:numPr>
          <w:ilvl w:val="0"/>
          <w:numId w:val="9"/>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7E27FE" w:rsidRPr="00500D4E" w:rsidRDefault="007E27FE"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7E27FE" w:rsidRPr="00500D4E" w:rsidRDefault="007E27FE" w:rsidP="00500D4E">
      <w:pPr>
        <w:spacing w:after="0" w:line="360" w:lineRule="auto"/>
        <w:rPr>
          <w:rFonts w:cs="Calibri"/>
          <w:bCs/>
          <w:sz w:val="20"/>
          <w:szCs w:val="20"/>
          <w:lang w:eastAsia="pl-PL"/>
        </w:rPr>
      </w:pPr>
    </w:p>
    <w:p w:rsidR="007E27FE" w:rsidRPr="00500D4E" w:rsidRDefault="007E27FE" w:rsidP="00500D4E">
      <w:pPr>
        <w:spacing w:after="0" w:line="360" w:lineRule="auto"/>
        <w:rPr>
          <w:rFonts w:cs="Calibri"/>
          <w:bCs/>
          <w:sz w:val="20"/>
          <w:szCs w:val="20"/>
          <w:lang w:eastAsia="pl-PL"/>
        </w:rPr>
      </w:pPr>
    </w:p>
    <w:p w:rsidR="007E27FE" w:rsidRDefault="007E27FE" w:rsidP="00500D4E">
      <w:pPr>
        <w:spacing w:after="0" w:line="360" w:lineRule="auto"/>
        <w:jc w:val="center"/>
        <w:rPr>
          <w:rFonts w:cs="Calibri"/>
          <w:sz w:val="20"/>
          <w:szCs w:val="20"/>
          <w:lang w:eastAsia="pl-PL"/>
        </w:rPr>
      </w:pPr>
    </w:p>
    <w:p w:rsidR="007E27FE" w:rsidRPr="00500D4E" w:rsidRDefault="007E27FE" w:rsidP="000B4B52">
      <w:pPr>
        <w:spacing w:after="0" w:line="360" w:lineRule="auto"/>
        <w:rPr>
          <w:rFonts w:cs="Calibri"/>
          <w:b/>
          <w:sz w:val="20"/>
          <w:szCs w:val="20"/>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2A22DC">
      <w:pPr>
        <w:tabs>
          <w:tab w:val="left" w:pos="567"/>
        </w:tabs>
        <w:spacing w:after="0" w:line="360" w:lineRule="auto"/>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1E0363">
      <w:pPr>
        <w:tabs>
          <w:tab w:val="left" w:pos="567"/>
        </w:tabs>
        <w:spacing w:after="0" w:line="360" w:lineRule="auto"/>
        <w:rPr>
          <w:rFonts w:cs="Calibri"/>
          <w:b/>
          <w:bCs/>
          <w:sz w:val="24"/>
          <w:szCs w:val="24"/>
          <w:u w:val="single"/>
          <w:lang w:eastAsia="pl-PL"/>
        </w:rPr>
      </w:pPr>
    </w:p>
    <w:p w:rsidR="007E27FE" w:rsidRPr="00500D4E" w:rsidRDefault="007E27FE"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7E27FE" w:rsidRDefault="007E27FE" w:rsidP="00A8346E">
      <w:pPr>
        <w:jc w:val="both"/>
        <w:rPr>
          <w:rFonts w:ascii="Verdana" w:hAnsi="Verdana" w:cs="Tahoma"/>
          <w:sz w:val="20"/>
          <w:szCs w:val="20"/>
        </w:rPr>
      </w:pPr>
      <w:r>
        <w:rPr>
          <w:rFonts w:ascii="Verdana" w:hAnsi="Verdana" w:cs="Tahoma"/>
          <w:sz w:val="20"/>
          <w:szCs w:val="20"/>
        </w:rPr>
        <w:t>Umowa zawarta w Krakowie dnia .......................... pomiędzy:</w:t>
      </w:r>
    </w:p>
    <w:p w:rsidR="007E27FE" w:rsidRDefault="007E27FE" w:rsidP="00A8346E">
      <w:pPr>
        <w:autoSpaceDE w:val="0"/>
        <w:autoSpaceDN w:val="0"/>
        <w:adjustRightInd w:val="0"/>
        <w:rPr>
          <w:rFonts w:ascii="Arial" w:hAnsi="Arial" w:cs="Arial"/>
          <w:color w:val="000000"/>
          <w:sz w:val="24"/>
          <w:szCs w:val="24"/>
        </w:rPr>
      </w:pPr>
    </w:p>
    <w:p w:rsidR="007E27FE" w:rsidRDefault="007E27FE"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7E27FE" w:rsidRDefault="007E27FE" w:rsidP="00A8346E">
      <w:pPr>
        <w:jc w:val="both"/>
        <w:rPr>
          <w:rFonts w:ascii="Verdana" w:hAnsi="Verdana" w:cs="Tahoma"/>
          <w:sz w:val="20"/>
          <w:szCs w:val="20"/>
        </w:rPr>
      </w:pPr>
      <w:r>
        <w:rPr>
          <w:rFonts w:ascii="Verdana" w:hAnsi="Verdana" w:cs="Arial"/>
          <w:color w:val="000000"/>
          <w:sz w:val="20"/>
          <w:szCs w:val="20"/>
        </w:rPr>
        <w:t>………………………………………………………………………………………………………………………</w:t>
      </w:r>
    </w:p>
    <w:p w:rsidR="007E27FE" w:rsidRDefault="007E27FE" w:rsidP="00A8346E">
      <w:pPr>
        <w:jc w:val="both"/>
        <w:rPr>
          <w:rFonts w:ascii="Verdana" w:hAnsi="Verdana" w:cs="Tahoma"/>
          <w:sz w:val="20"/>
          <w:szCs w:val="20"/>
        </w:rPr>
      </w:pPr>
    </w:p>
    <w:p w:rsidR="007E27FE" w:rsidRDefault="007E27FE" w:rsidP="00A8346E">
      <w:pPr>
        <w:jc w:val="both"/>
        <w:rPr>
          <w:rFonts w:ascii="Verdana" w:hAnsi="Verdana" w:cs="Tahoma"/>
          <w:sz w:val="20"/>
          <w:szCs w:val="20"/>
        </w:rPr>
      </w:pPr>
      <w:r>
        <w:rPr>
          <w:rFonts w:ascii="Verdana" w:hAnsi="Verdana" w:cs="Tahoma"/>
          <w:sz w:val="20"/>
          <w:szCs w:val="20"/>
        </w:rPr>
        <w:t xml:space="preserve">a:............................... </w:t>
      </w:r>
    </w:p>
    <w:p w:rsidR="007E27FE" w:rsidRDefault="007E27FE"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7E27FE" w:rsidRDefault="007E27FE" w:rsidP="00A8346E">
      <w:pPr>
        <w:jc w:val="both"/>
        <w:rPr>
          <w:rFonts w:ascii="Verdana" w:hAnsi="Verdana" w:cs="Tahoma"/>
          <w:i/>
          <w:sz w:val="20"/>
          <w:szCs w:val="20"/>
        </w:rPr>
      </w:pPr>
    </w:p>
    <w:p w:rsidR="007E27FE" w:rsidRDefault="007E27FE"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ZP/9</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7E27FE" w:rsidRDefault="007E27FE" w:rsidP="00A8346E">
      <w:pPr>
        <w:jc w:val="both"/>
        <w:rPr>
          <w:rFonts w:ascii="Verdana" w:hAnsi="Verdana" w:cs="Tahoma"/>
          <w:sz w:val="20"/>
          <w:szCs w:val="20"/>
        </w:rPr>
      </w:pPr>
    </w:p>
    <w:p w:rsidR="007E27FE" w:rsidRDefault="007E27FE" w:rsidP="00A8346E">
      <w:pPr>
        <w:ind w:left="2832" w:firstLine="708"/>
        <w:jc w:val="both"/>
        <w:rPr>
          <w:rFonts w:ascii="Verdana" w:hAnsi="Verdana" w:cs="Tahoma"/>
          <w:b/>
          <w:sz w:val="20"/>
          <w:szCs w:val="20"/>
        </w:rPr>
      </w:pPr>
      <w:r>
        <w:rPr>
          <w:rFonts w:ascii="Verdana" w:hAnsi="Verdana" w:cs="Tahoma"/>
          <w:b/>
          <w:sz w:val="20"/>
          <w:szCs w:val="20"/>
        </w:rPr>
        <w:t>§ 1 Przedmiot umowy</w:t>
      </w:r>
    </w:p>
    <w:p w:rsidR="007E27FE" w:rsidRDefault="007E27FE" w:rsidP="00051DAB">
      <w:pPr>
        <w:numPr>
          <w:ilvl w:val="0"/>
          <w:numId w:val="12"/>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sidRPr="00BD0F16">
        <w:rPr>
          <w:rFonts w:ascii="Verdana" w:hAnsi="Verdana"/>
          <w:sz w:val="20"/>
          <w:szCs w:val="20"/>
        </w:rPr>
        <w:t>Modernizacja istniejącego w Sieć Badawcza Łukasiewicz - Krakowskim Instytucie Technologicznym urządzenia NNV-6.6 I1UHL4 do nanoszenia powłok metodą PVD</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z analizą wyników. </w:t>
      </w:r>
    </w:p>
    <w:p w:rsidR="007E27FE" w:rsidRDefault="007E27FE" w:rsidP="00051DAB">
      <w:pPr>
        <w:numPr>
          <w:ilvl w:val="0"/>
          <w:numId w:val="12"/>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po dokonanej modernizacji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7E27FE" w:rsidRDefault="007E27FE" w:rsidP="00051DAB">
      <w:pPr>
        <w:numPr>
          <w:ilvl w:val="0"/>
          <w:numId w:val="12"/>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7E27FE" w:rsidRDefault="007E27FE" w:rsidP="00A8346E">
      <w:pPr>
        <w:rPr>
          <w:rFonts w:ascii="Verdana" w:hAnsi="Verdana" w:cs="Tahoma"/>
          <w:b/>
          <w:sz w:val="20"/>
          <w:szCs w:val="20"/>
        </w:rPr>
      </w:pPr>
    </w:p>
    <w:p w:rsidR="007E27FE" w:rsidRDefault="007E27FE" w:rsidP="00A8346E">
      <w:pPr>
        <w:jc w:val="center"/>
        <w:rPr>
          <w:rFonts w:ascii="Verdana" w:hAnsi="Verdana" w:cs="Tahoma"/>
          <w:b/>
          <w:sz w:val="20"/>
          <w:szCs w:val="20"/>
        </w:rPr>
      </w:pPr>
      <w:r>
        <w:rPr>
          <w:rFonts w:ascii="Verdana" w:hAnsi="Verdana" w:cs="Tahoma"/>
          <w:b/>
          <w:sz w:val="20"/>
          <w:szCs w:val="20"/>
        </w:rPr>
        <w:t>§ 2 Cena i termin warunki wykonania umowy</w:t>
      </w:r>
    </w:p>
    <w:p w:rsidR="007E27FE" w:rsidRDefault="007E27FE" w:rsidP="00051DAB">
      <w:pPr>
        <w:numPr>
          <w:ilvl w:val="0"/>
          <w:numId w:val="16"/>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7E27FE" w:rsidRDefault="007E27FE" w:rsidP="00051DAB">
      <w:pPr>
        <w:numPr>
          <w:ilvl w:val="0"/>
          <w:numId w:val="16"/>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7E27FE" w:rsidRDefault="007E27FE" w:rsidP="00051DAB">
      <w:pPr>
        <w:numPr>
          <w:ilvl w:val="0"/>
          <w:numId w:val="16"/>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7E27FE" w:rsidRPr="002342B8" w:rsidRDefault="007E27FE" w:rsidP="002342B8">
      <w:pPr>
        <w:ind w:left="426"/>
        <w:jc w:val="both"/>
        <w:rPr>
          <w:rFonts w:ascii="Verdana" w:hAnsi="Verdana" w:cs="Tahoma"/>
          <w:sz w:val="20"/>
          <w:szCs w:val="20"/>
        </w:rPr>
      </w:pPr>
      <w:r>
        <w:rPr>
          <w:rFonts w:ascii="Verdana" w:hAnsi="Verdana" w:cs="Tahoma"/>
          <w:sz w:val="20"/>
          <w:szCs w:val="20"/>
        </w:rPr>
        <w:t xml:space="preserve"> </w:t>
      </w:r>
    </w:p>
    <w:p w:rsidR="007E27FE" w:rsidRDefault="007E27FE"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7E27FE" w:rsidRDefault="007E27FE" w:rsidP="00051DAB">
      <w:pPr>
        <w:numPr>
          <w:ilvl w:val="0"/>
          <w:numId w:val="11"/>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7E27FE" w:rsidRDefault="007E27FE" w:rsidP="00051DAB">
      <w:pPr>
        <w:numPr>
          <w:ilvl w:val="0"/>
          <w:numId w:val="11"/>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7E27FE" w:rsidRDefault="007E27FE" w:rsidP="00051DAB">
      <w:pPr>
        <w:numPr>
          <w:ilvl w:val="0"/>
          <w:numId w:val="11"/>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7E27FE" w:rsidRDefault="007E27FE" w:rsidP="00051DAB">
      <w:pPr>
        <w:widowControl w:val="0"/>
        <w:numPr>
          <w:ilvl w:val="0"/>
          <w:numId w:val="11"/>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7E27FE" w:rsidRDefault="007E27FE" w:rsidP="002342B8">
      <w:pPr>
        <w:rPr>
          <w:rFonts w:ascii="Verdana" w:hAnsi="Verdana" w:cs="Tahoma"/>
          <w:b/>
          <w:sz w:val="20"/>
          <w:szCs w:val="20"/>
        </w:rPr>
      </w:pPr>
    </w:p>
    <w:p w:rsidR="007E27FE" w:rsidRDefault="007E27FE" w:rsidP="00A8346E">
      <w:pPr>
        <w:jc w:val="center"/>
        <w:rPr>
          <w:rFonts w:ascii="Verdana" w:hAnsi="Verdana" w:cs="Tahoma"/>
          <w:b/>
          <w:sz w:val="20"/>
          <w:szCs w:val="20"/>
        </w:rPr>
      </w:pPr>
      <w:r>
        <w:rPr>
          <w:rFonts w:ascii="Verdana" w:hAnsi="Verdana" w:cs="Tahoma"/>
          <w:b/>
          <w:sz w:val="20"/>
          <w:szCs w:val="20"/>
        </w:rPr>
        <w:t>§ 4 Odpowiedzialność odszkodowawcza.</w:t>
      </w:r>
    </w:p>
    <w:p w:rsidR="007E27FE" w:rsidRDefault="007E27FE" w:rsidP="00051DAB">
      <w:pPr>
        <w:numPr>
          <w:ilvl w:val="0"/>
          <w:numId w:val="1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7E27FE" w:rsidRDefault="007E27FE" w:rsidP="00051DAB">
      <w:pPr>
        <w:numPr>
          <w:ilvl w:val="0"/>
          <w:numId w:val="1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7E27FE" w:rsidRPr="008A6484" w:rsidRDefault="007E27FE" w:rsidP="00051DAB">
      <w:pPr>
        <w:numPr>
          <w:ilvl w:val="0"/>
          <w:numId w:val="1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7E27FE" w:rsidRDefault="007E27FE" w:rsidP="00051DAB">
      <w:pPr>
        <w:numPr>
          <w:ilvl w:val="0"/>
          <w:numId w:val="1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7E27FE" w:rsidRDefault="007E27FE" w:rsidP="00051DAB">
      <w:pPr>
        <w:numPr>
          <w:ilvl w:val="0"/>
          <w:numId w:val="13"/>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7E27FE" w:rsidRDefault="007E27FE" w:rsidP="00A8346E">
      <w:pPr>
        <w:jc w:val="both"/>
        <w:rPr>
          <w:rFonts w:ascii="Verdana" w:hAnsi="Verdana" w:cs="Tahoma"/>
          <w:b/>
          <w:sz w:val="20"/>
          <w:szCs w:val="20"/>
        </w:rPr>
      </w:pPr>
    </w:p>
    <w:p w:rsidR="007E27FE" w:rsidRDefault="007E27FE" w:rsidP="00A8346E">
      <w:pPr>
        <w:jc w:val="center"/>
        <w:rPr>
          <w:rFonts w:ascii="Verdana" w:hAnsi="Verdana" w:cs="Tahoma"/>
          <w:b/>
          <w:sz w:val="20"/>
          <w:szCs w:val="20"/>
        </w:rPr>
      </w:pPr>
      <w:r>
        <w:rPr>
          <w:rFonts w:ascii="Verdana" w:hAnsi="Verdana" w:cs="Tahoma"/>
          <w:b/>
          <w:sz w:val="20"/>
          <w:szCs w:val="20"/>
        </w:rPr>
        <w:t>§ 5 Postanowienia dodatkowe</w:t>
      </w:r>
    </w:p>
    <w:p w:rsidR="007E27FE" w:rsidRDefault="007E27FE" w:rsidP="00051DAB">
      <w:pPr>
        <w:numPr>
          <w:ilvl w:val="0"/>
          <w:numId w:val="1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7E27FE" w:rsidRDefault="007E27FE" w:rsidP="00051DAB">
      <w:pPr>
        <w:numPr>
          <w:ilvl w:val="0"/>
          <w:numId w:val="1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7E27FE" w:rsidRDefault="007E27FE" w:rsidP="00051DAB">
      <w:pPr>
        <w:numPr>
          <w:ilvl w:val="0"/>
          <w:numId w:val="1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7E27FE" w:rsidRDefault="007E27FE" w:rsidP="00051DAB">
      <w:pPr>
        <w:numPr>
          <w:ilvl w:val="0"/>
          <w:numId w:val="1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7E27FE" w:rsidRDefault="007E27FE" w:rsidP="00A8346E">
      <w:pPr>
        <w:rPr>
          <w:rFonts w:ascii="Verdana" w:hAnsi="Verdana" w:cs="Tahoma"/>
          <w:b/>
          <w:sz w:val="20"/>
          <w:szCs w:val="20"/>
        </w:rPr>
      </w:pPr>
    </w:p>
    <w:p w:rsidR="007E27FE" w:rsidRDefault="007E27FE" w:rsidP="00A8346E">
      <w:pPr>
        <w:jc w:val="center"/>
        <w:rPr>
          <w:rFonts w:ascii="Verdana" w:hAnsi="Verdana" w:cs="Tahoma"/>
          <w:b/>
          <w:sz w:val="20"/>
          <w:szCs w:val="20"/>
        </w:rPr>
      </w:pPr>
      <w:r>
        <w:rPr>
          <w:rFonts w:ascii="Verdana" w:hAnsi="Verdana" w:cs="Tahoma"/>
          <w:b/>
          <w:sz w:val="20"/>
          <w:szCs w:val="20"/>
        </w:rPr>
        <w:t>§ 6 Postanowienia końcowe.</w:t>
      </w:r>
    </w:p>
    <w:p w:rsidR="007E27FE" w:rsidRDefault="007E27FE" w:rsidP="00051DAB">
      <w:pPr>
        <w:numPr>
          <w:ilvl w:val="0"/>
          <w:numId w:val="1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7E27FE" w:rsidRDefault="007E27FE" w:rsidP="00051DAB">
      <w:pPr>
        <w:numPr>
          <w:ilvl w:val="0"/>
          <w:numId w:val="1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7E27FE" w:rsidRDefault="007E27FE" w:rsidP="00051DAB">
      <w:pPr>
        <w:numPr>
          <w:ilvl w:val="0"/>
          <w:numId w:val="1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7E27FE" w:rsidRDefault="007E27FE" w:rsidP="00A8346E">
      <w:pPr>
        <w:numPr>
          <w:ilvl w:val="1"/>
          <w:numId w:val="15"/>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7E27FE" w:rsidRDefault="007E27FE" w:rsidP="00A8346E">
      <w:pPr>
        <w:numPr>
          <w:ilvl w:val="1"/>
          <w:numId w:val="15"/>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7E27FE" w:rsidRDefault="007E27FE" w:rsidP="00605B8B">
      <w:pPr>
        <w:numPr>
          <w:ilvl w:val="1"/>
          <w:numId w:val="15"/>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w:t>
      </w:r>
    </w:p>
    <w:p w:rsidR="007E27FE" w:rsidRDefault="007E27FE" w:rsidP="00051DAB">
      <w:pPr>
        <w:numPr>
          <w:ilvl w:val="0"/>
          <w:numId w:val="15"/>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7E27FE" w:rsidRDefault="007E27FE" w:rsidP="00A8346E">
      <w:pPr>
        <w:jc w:val="both"/>
        <w:rPr>
          <w:rFonts w:ascii="Verdana" w:hAnsi="Verdana" w:cs="Tahoma"/>
          <w:sz w:val="20"/>
          <w:szCs w:val="20"/>
        </w:rPr>
      </w:pPr>
    </w:p>
    <w:p w:rsidR="007E27FE" w:rsidRDefault="007E27FE" w:rsidP="00A8346E">
      <w:pPr>
        <w:jc w:val="both"/>
        <w:rPr>
          <w:rFonts w:ascii="Verdana" w:hAnsi="Verdana" w:cs="Tahoma"/>
          <w:sz w:val="20"/>
          <w:szCs w:val="20"/>
        </w:rPr>
      </w:pPr>
    </w:p>
    <w:p w:rsidR="007E27FE" w:rsidRDefault="007E27FE"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7E27FE" w:rsidRPr="0054448A" w:rsidRDefault="007E27FE" w:rsidP="0054448A">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7E27FE" w:rsidRDefault="007E27FE" w:rsidP="0031287B">
      <w:pPr>
        <w:tabs>
          <w:tab w:val="left" w:pos="567"/>
        </w:tabs>
        <w:spacing w:after="0" w:line="360" w:lineRule="auto"/>
        <w:rPr>
          <w:rFonts w:cs="Calibri"/>
          <w:b/>
          <w:bCs/>
          <w:sz w:val="24"/>
          <w:szCs w:val="24"/>
          <w:u w:val="single"/>
          <w:lang w:eastAsia="pl-PL"/>
        </w:rPr>
      </w:pPr>
    </w:p>
    <w:p w:rsidR="007E27FE" w:rsidRPr="0005614F" w:rsidRDefault="007E27FE"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7E27FE" w:rsidRDefault="007E27FE" w:rsidP="00801242">
      <w:pPr>
        <w:spacing w:after="0" w:line="240" w:lineRule="auto"/>
        <w:jc w:val="center"/>
        <w:outlineLvl w:val="1"/>
        <w:rPr>
          <w:rFonts w:ascii="Verdana" w:hAnsi="Verdana"/>
          <w:b/>
          <w:bCs/>
          <w:sz w:val="18"/>
          <w:szCs w:val="18"/>
          <w:lang w:eastAsia="pl-PL"/>
        </w:rPr>
      </w:pPr>
    </w:p>
    <w:p w:rsidR="007E27FE" w:rsidRPr="009D5E9D" w:rsidRDefault="007E27FE" w:rsidP="00801242">
      <w:pPr>
        <w:spacing w:after="0" w:line="240" w:lineRule="auto"/>
        <w:jc w:val="center"/>
        <w:outlineLvl w:val="1"/>
        <w:rPr>
          <w:rFonts w:ascii="Verdana" w:hAnsi="Verdana"/>
          <w:b/>
          <w:bCs/>
          <w:sz w:val="18"/>
          <w:szCs w:val="18"/>
          <w:lang w:eastAsia="pl-PL"/>
        </w:rPr>
      </w:pPr>
    </w:p>
    <w:p w:rsidR="007E27FE" w:rsidRPr="009D5E9D" w:rsidRDefault="007E27FE"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7E27FE" w:rsidRDefault="007E27FE" w:rsidP="00801242">
      <w:pPr>
        <w:spacing w:after="0" w:line="240" w:lineRule="auto"/>
        <w:jc w:val="center"/>
        <w:outlineLvl w:val="1"/>
        <w:rPr>
          <w:rFonts w:ascii="Verdana" w:hAnsi="Verdana"/>
          <w:b/>
          <w:bCs/>
          <w:sz w:val="18"/>
          <w:szCs w:val="18"/>
          <w:lang w:eastAsia="pl-PL"/>
        </w:rPr>
      </w:pPr>
    </w:p>
    <w:p w:rsidR="007E27FE" w:rsidRDefault="007E27FE" w:rsidP="00801242">
      <w:pPr>
        <w:spacing w:after="0" w:line="240" w:lineRule="auto"/>
        <w:jc w:val="center"/>
        <w:outlineLvl w:val="1"/>
        <w:rPr>
          <w:rFonts w:ascii="Verdana" w:hAnsi="Verdana"/>
          <w:b/>
          <w:bCs/>
          <w:sz w:val="18"/>
          <w:szCs w:val="18"/>
          <w:lang w:eastAsia="pl-PL"/>
        </w:rPr>
      </w:pPr>
    </w:p>
    <w:p w:rsidR="007E27FE" w:rsidRPr="009D5E9D" w:rsidRDefault="007E27FE" w:rsidP="00801242">
      <w:pPr>
        <w:spacing w:after="0" w:line="240" w:lineRule="auto"/>
        <w:jc w:val="center"/>
        <w:outlineLvl w:val="1"/>
        <w:rPr>
          <w:rFonts w:ascii="Verdana" w:hAnsi="Verdana"/>
          <w:b/>
          <w:bCs/>
          <w:sz w:val="18"/>
          <w:szCs w:val="18"/>
          <w:lang w:eastAsia="pl-PL"/>
        </w:rPr>
      </w:pPr>
    </w:p>
    <w:p w:rsidR="007E27FE" w:rsidRPr="009D5E9D" w:rsidRDefault="007E27FE"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7E27FE" w:rsidRPr="009704C7" w:rsidRDefault="007E27FE"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7E27FE" w:rsidRPr="009D5E9D" w:rsidRDefault="007E27F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7E27FE" w:rsidRPr="009D5E9D" w:rsidRDefault="007E27F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7E27FE" w:rsidRPr="009D5E9D" w:rsidRDefault="007E27F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7E27FE" w:rsidRPr="009D5E9D" w:rsidRDefault="007E27F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7E27FE" w:rsidRPr="009D5E9D" w:rsidRDefault="007E27F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7E27FE" w:rsidRPr="009D5E9D" w:rsidRDefault="007E27FE"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7E27FE" w:rsidRDefault="007E27FE" w:rsidP="00801242"/>
    <w:p w:rsidR="007E27FE" w:rsidRPr="0054448A" w:rsidRDefault="007E27FE" w:rsidP="00801242">
      <w:pPr>
        <w:jc w:val="center"/>
        <w:rPr>
          <w:rFonts w:ascii="Verdana" w:hAnsi="Verdana" w:cs="Tahoma"/>
          <w:i/>
          <w:sz w:val="20"/>
          <w:szCs w:val="20"/>
        </w:rPr>
      </w:pPr>
    </w:p>
    <w:p w:rsidR="007E27FE" w:rsidRDefault="007E27FE" w:rsidP="00801242">
      <w:pPr>
        <w:tabs>
          <w:tab w:val="left" w:pos="567"/>
        </w:tabs>
        <w:spacing w:after="0" w:line="360" w:lineRule="auto"/>
        <w:rPr>
          <w:rFonts w:cs="Calibri"/>
          <w:b/>
          <w:bCs/>
          <w:sz w:val="24"/>
          <w:szCs w:val="24"/>
          <w:u w:val="single"/>
          <w:lang w:eastAsia="pl-PL"/>
        </w:rPr>
      </w:pPr>
    </w:p>
    <w:p w:rsidR="007E27FE" w:rsidRDefault="007E27FE" w:rsidP="00801242">
      <w:pPr>
        <w:tabs>
          <w:tab w:val="left" w:pos="567"/>
        </w:tabs>
        <w:spacing w:after="0" w:line="360" w:lineRule="auto"/>
        <w:jc w:val="center"/>
        <w:rPr>
          <w:rFonts w:cs="Calibri"/>
          <w:b/>
          <w:bCs/>
          <w:sz w:val="24"/>
          <w:szCs w:val="24"/>
          <w:u w:val="single"/>
          <w:lang w:eastAsia="pl-PL"/>
        </w:rPr>
      </w:pPr>
    </w:p>
    <w:p w:rsidR="007E27FE" w:rsidRDefault="007E27FE" w:rsidP="00801242">
      <w:pPr>
        <w:tabs>
          <w:tab w:val="left" w:pos="567"/>
        </w:tabs>
        <w:spacing w:after="0" w:line="360" w:lineRule="auto"/>
        <w:jc w:val="center"/>
        <w:rPr>
          <w:rFonts w:cs="Calibri"/>
          <w:b/>
          <w:bCs/>
          <w:sz w:val="24"/>
          <w:szCs w:val="24"/>
          <w:u w:val="single"/>
          <w:lang w:eastAsia="pl-PL"/>
        </w:rPr>
      </w:pPr>
    </w:p>
    <w:p w:rsidR="007E27FE" w:rsidRDefault="007E27FE" w:rsidP="00801242">
      <w:pPr>
        <w:tabs>
          <w:tab w:val="left" w:pos="567"/>
        </w:tabs>
        <w:spacing w:after="0" w:line="360" w:lineRule="auto"/>
        <w:jc w:val="center"/>
        <w:rPr>
          <w:rFonts w:cs="Calibri"/>
          <w:b/>
          <w:bCs/>
          <w:sz w:val="24"/>
          <w:szCs w:val="24"/>
          <w:u w:val="single"/>
          <w:lang w:eastAsia="pl-PL"/>
        </w:rPr>
      </w:pPr>
    </w:p>
    <w:p w:rsidR="007E27FE" w:rsidRDefault="007E27FE" w:rsidP="00801242">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Default="007E27FE" w:rsidP="00500D4E">
      <w:pPr>
        <w:tabs>
          <w:tab w:val="left" w:pos="567"/>
        </w:tabs>
        <w:spacing w:after="0" w:line="360" w:lineRule="auto"/>
        <w:jc w:val="center"/>
        <w:rPr>
          <w:rFonts w:cs="Calibri"/>
          <w:b/>
          <w:bCs/>
          <w:sz w:val="24"/>
          <w:szCs w:val="24"/>
          <w:u w:val="single"/>
          <w:lang w:eastAsia="pl-PL"/>
        </w:rPr>
      </w:pPr>
    </w:p>
    <w:p w:rsidR="007E27FE" w:rsidRPr="00500D4E" w:rsidRDefault="007E27FE"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7E27FE" w:rsidRDefault="007E27FE"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7E27FE" w:rsidRPr="007F7F0F" w:rsidRDefault="007E27FE" w:rsidP="00EB7ECD">
      <w:pPr>
        <w:tabs>
          <w:tab w:val="left" w:pos="567"/>
        </w:tabs>
        <w:spacing w:after="0" w:line="360" w:lineRule="auto"/>
        <w:jc w:val="center"/>
        <w:rPr>
          <w:rFonts w:cs="Calibri"/>
          <w:b/>
          <w:sz w:val="20"/>
          <w:szCs w:val="20"/>
          <w:lang w:val="en-US" w:eastAsia="pl-PL"/>
        </w:rPr>
      </w:pPr>
      <w:r>
        <w:rPr>
          <w:rFonts w:cs="Calibri"/>
          <w:b/>
          <w:sz w:val="20"/>
          <w:szCs w:val="20"/>
          <w:lang w:eastAsia="pl-PL"/>
        </w:rPr>
        <w:t xml:space="preserve">Uwaga – tłumaczenie na język angielski zostało wykonane jedynie w celach informacyjnych. </w:t>
      </w:r>
      <w:r w:rsidRPr="007F7F0F">
        <w:rPr>
          <w:rFonts w:cs="Calibri"/>
          <w:b/>
          <w:sz w:val="20"/>
          <w:szCs w:val="20"/>
          <w:lang w:val="en-US" w:eastAsia="pl-PL"/>
        </w:rPr>
        <w:t>Jedyna oryginalna wersja tekstu to wersja pol</w:t>
      </w:r>
      <w:r>
        <w:rPr>
          <w:rFonts w:cs="Calibri"/>
          <w:b/>
          <w:sz w:val="20"/>
          <w:szCs w:val="20"/>
          <w:lang w:val="en-US" w:eastAsia="pl-PL"/>
        </w:rPr>
        <w:t>s</w:t>
      </w:r>
      <w:r w:rsidRPr="007F7F0F">
        <w:rPr>
          <w:rFonts w:cs="Calibri"/>
          <w:b/>
          <w:sz w:val="20"/>
          <w:szCs w:val="20"/>
          <w:lang w:val="en-US" w:eastAsia="pl-PL"/>
        </w:rPr>
        <w:t>kojezyczna.</w:t>
      </w:r>
    </w:p>
    <w:p w:rsidR="007E27FE" w:rsidRPr="007F7F0F" w:rsidRDefault="007E27FE" w:rsidP="00EB7ECD">
      <w:pPr>
        <w:tabs>
          <w:tab w:val="left" w:pos="567"/>
        </w:tabs>
        <w:spacing w:after="0" w:line="360" w:lineRule="auto"/>
        <w:jc w:val="center"/>
        <w:rPr>
          <w:rFonts w:cs="Calibri"/>
          <w:b/>
          <w:sz w:val="20"/>
          <w:szCs w:val="20"/>
          <w:lang w:val="en-US" w:eastAsia="pl-PL"/>
        </w:rPr>
      </w:pPr>
      <w:r w:rsidRPr="007F7F0F">
        <w:rPr>
          <w:rFonts w:cs="Calibri"/>
          <w:b/>
          <w:sz w:val="20"/>
          <w:szCs w:val="20"/>
          <w:lang w:val="en-US" w:eastAsia="pl-PL"/>
        </w:rPr>
        <w:t>Attention –</w:t>
      </w:r>
      <w:r>
        <w:rPr>
          <w:rFonts w:cs="Calibri"/>
          <w:b/>
          <w:sz w:val="20"/>
          <w:szCs w:val="20"/>
          <w:lang w:val="en-US" w:eastAsia="pl-PL"/>
        </w:rPr>
        <w:t xml:space="preserve"> t</w:t>
      </w:r>
      <w:r w:rsidRPr="007F7F0F">
        <w:rPr>
          <w:rFonts w:cs="Calibri"/>
          <w:b/>
          <w:sz w:val="20"/>
          <w:szCs w:val="20"/>
          <w:lang w:val="en-US" w:eastAsia="pl-PL"/>
        </w:rPr>
        <w:t xml:space="preserve">he translation of the original text </w:t>
      </w:r>
      <w:r>
        <w:rPr>
          <w:rFonts w:cs="Calibri"/>
          <w:b/>
          <w:sz w:val="20"/>
          <w:szCs w:val="20"/>
          <w:lang w:val="en-US" w:eastAsia="pl-PL"/>
        </w:rPr>
        <w:t>i</w:t>
      </w:r>
      <w:r w:rsidRPr="007F7F0F">
        <w:rPr>
          <w:rFonts w:cs="Calibri"/>
          <w:b/>
          <w:sz w:val="20"/>
          <w:szCs w:val="20"/>
          <w:lang w:val="en-US" w:eastAsia="pl-PL"/>
        </w:rPr>
        <w:t>n</w:t>
      </w:r>
      <w:r>
        <w:rPr>
          <w:rFonts w:cs="Calibri"/>
          <w:b/>
          <w:sz w:val="20"/>
          <w:szCs w:val="20"/>
          <w:lang w:val="en-US" w:eastAsia="pl-PL"/>
        </w:rPr>
        <w:t>to</w:t>
      </w:r>
      <w:r w:rsidRPr="007F7F0F">
        <w:rPr>
          <w:rFonts w:cs="Calibri"/>
          <w:b/>
          <w:sz w:val="20"/>
          <w:szCs w:val="20"/>
          <w:lang w:val="en-US" w:eastAsia="pl-PL"/>
        </w:rPr>
        <w:t xml:space="preserve"> </w:t>
      </w:r>
      <w:r>
        <w:rPr>
          <w:rFonts w:cs="Calibri"/>
          <w:b/>
          <w:sz w:val="20"/>
          <w:szCs w:val="20"/>
          <w:lang w:val="en-US" w:eastAsia="pl-PL"/>
        </w:rPr>
        <w:t>e</w:t>
      </w:r>
      <w:r w:rsidRPr="007F7F0F">
        <w:rPr>
          <w:rFonts w:cs="Calibri"/>
          <w:b/>
          <w:sz w:val="20"/>
          <w:szCs w:val="20"/>
          <w:lang w:val="en-US" w:eastAsia="pl-PL"/>
        </w:rPr>
        <w:t>nglish is provided s</w:t>
      </w:r>
      <w:r>
        <w:rPr>
          <w:rFonts w:cs="Calibri"/>
          <w:b/>
          <w:sz w:val="20"/>
          <w:szCs w:val="20"/>
          <w:lang w:val="en-US" w:eastAsia="pl-PL"/>
        </w:rPr>
        <w:t>olely for information purposes. The only valid version of the text is the polish version.</w:t>
      </w:r>
    </w:p>
    <w:p w:rsidR="007E27FE" w:rsidRPr="007F7F0F" w:rsidRDefault="007E27FE" w:rsidP="00EB7ECD">
      <w:pPr>
        <w:tabs>
          <w:tab w:val="left" w:pos="567"/>
        </w:tabs>
        <w:spacing w:after="0" w:line="360" w:lineRule="auto"/>
        <w:jc w:val="center"/>
        <w:rPr>
          <w:rFonts w:cs="Calibri"/>
          <w:b/>
          <w:sz w:val="20"/>
          <w:szCs w:val="20"/>
          <w:lang w:val="en-US"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5"/>
        <w:gridCol w:w="4853"/>
      </w:tblGrid>
      <w:tr w:rsidR="007E27FE" w:rsidRPr="001E0363" w:rsidTr="00617027">
        <w:trPr>
          <w:trHeight w:val="1617"/>
        </w:trPr>
        <w:tc>
          <w:tcPr>
            <w:tcW w:w="5299" w:type="dxa"/>
          </w:tcPr>
          <w:p w:rsidR="007E27FE" w:rsidRDefault="007E27FE" w:rsidP="00A01C15">
            <w:pPr>
              <w:spacing w:after="0"/>
              <w:jc w:val="both"/>
              <w:rPr>
                <w:rFonts w:ascii="Verdana" w:hAnsi="Verdana" w:cs="Calibri"/>
                <w:sz w:val="20"/>
                <w:szCs w:val="20"/>
              </w:rPr>
            </w:pPr>
            <w:r w:rsidRPr="00CC323E">
              <w:rPr>
                <w:rFonts w:ascii="Verdana" w:hAnsi="Verdana" w:cs="Calibri"/>
                <w:b/>
                <w:bCs/>
                <w:sz w:val="20"/>
                <w:szCs w:val="20"/>
              </w:rPr>
              <w:t>modernizacj</w:t>
            </w:r>
            <w:r>
              <w:rPr>
                <w:rFonts w:ascii="Verdana" w:hAnsi="Verdana" w:cs="Calibri"/>
                <w:b/>
                <w:bCs/>
                <w:sz w:val="20"/>
                <w:szCs w:val="20"/>
              </w:rPr>
              <w:t>a</w:t>
            </w:r>
            <w:r w:rsidRPr="00CC323E">
              <w:rPr>
                <w:rFonts w:ascii="Verdana" w:hAnsi="Verdana" w:cs="Calibri"/>
                <w:b/>
                <w:bCs/>
                <w:sz w:val="20"/>
                <w:szCs w:val="20"/>
              </w:rPr>
              <w:t xml:space="preserve"> istniejącego w</w:t>
            </w:r>
            <w:r w:rsidRPr="00CC323E">
              <w:rPr>
                <w:rFonts w:ascii="Verdana" w:hAnsi="Verdana" w:cs="Calibri"/>
                <w:b/>
                <w:sz w:val="20"/>
                <w:szCs w:val="20"/>
              </w:rPr>
              <w:t xml:space="preserve"> Sieć Badawcza Łukasiewicz - Krakowskim Instytucie Technologicznym </w:t>
            </w:r>
            <w:r w:rsidRPr="00CC323E">
              <w:rPr>
                <w:rFonts w:ascii="Verdana" w:hAnsi="Verdana" w:cs="Calibri"/>
                <w:b/>
                <w:bCs/>
                <w:sz w:val="20"/>
                <w:szCs w:val="20"/>
              </w:rPr>
              <w:t>urządzenia NNV-6.6 I1UHL4 do nanoszenia powłok metodą PVD</w:t>
            </w:r>
          </w:p>
          <w:p w:rsidR="007E27FE" w:rsidRPr="00BD0F16" w:rsidRDefault="007E27FE" w:rsidP="00BD0F16">
            <w:pPr>
              <w:tabs>
                <w:tab w:val="left" w:pos="2858"/>
              </w:tabs>
              <w:rPr>
                <w:rFonts w:ascii="Verdana" w:hAnsi="Verdana" w:cs="Calibri"/>
                <w:sz w:val="20"/>
                <w:szCs w:val="20"/>
              </w:rPr>
            </w:pPr>
          </w:p>
        </w:tc>
        <w:tc>
          <w:tcPr>
            <w:tcW w:w="5299" w:type="dxa"/>
          </w:tcPr>
          <w:p w:rsidR="007E27FE" w:rsidRPr="00CC323E" w:rsidRDefault="007E27FE" w:rsidP="00A01C15">
            <w:pPr>
              <w:spacing w:after="0"/>
              <w:jc w:val="both"/>
              <w:rPr>
                <w:rFonts w:ascii="Verdana" w:hAnsi="Verdana" w:cs="Calibri"/>
                <w:b/>
                <w:sz w:val="20"/>
                <w:szCs w:val="20"/>
                <w:lang w:val="en-GB"/>
              </w:rPr>
            </w:pPr>
            <w:r w:rsidRPr="001E0363">
              <w:rPr>
                <w:rFonts w:ascii="Verdana" w:hAnsi="Verdana" w:cs="Calibri"/>
                <w:b/>
                <w:sz w:val="20"/>
                <w:szCs w:val="20"/>
              </w:rPr>
              <w:t xml:space="preserve"> </w:t>
            </w:r>
            <w:r w:rsidRPr="00CC323E">
              <w:rPr>
                <w:rFonts w:ascii="Verdana" w:hAnsi="Verdana" w:cs="Calibri"/>
                <w:b/>
                <w:sz w:val="20"/>
                <w:szCs w:val="20"/>
                <w:lang w:val="en-GB"/>
              </w:rPr>
              <w:t>modernization of the PVD coating apparatus NNV-6.6 I1UHL4, located in the Łukasiewicz Research Network -  Krakow Institute of Technology.</w:t>
            </w:r>
          </w:p>
        </w:tc>
      </w:tr>
      <w:tr w:rsidR="007E27FE" w:rsidRPr="00CC323E" w:rsidTr="00A01C15">
        <w:trPr>
          <w:trHeight w:val="2588"/>
        </w:trPr>
        <w:tc>
          <w:tcPr>
            <w:tcW w:w="10598" w:type="dxa"/>
            <w:gridSpan w:val="2"/>
            <w:vAlign w:val="center"/>
          </w:tcPr>
          <w:p w:rsidR="007E27FE" w:rsidRPr="00CC323E" w:rsidRDefault="007E27FE" w:rsidP="00A01C15">
            <w:pPr>
              <w:spacing w:after="0" w:line="240" w:lineRule="auto"/>
              <w:jc w:val="center"/>
              <w:rPr>
                <w:rFonts w:ascii="Verdana" w:hAnsi="Verdana" w:cs="Calibri"/>
                <w:sz w:val="20"/>
                <w:szCs w:val="20"/>
                <w:lang w:val="en-GB"/>
              </w:rPr>
            </w:pPr>
            <w:r w:rsidRPr="0024400C">
              <w:rPr>
                <w:rFonts w:ascii="Verdana" w:hAnsi="Verdana" w:cs="Calibri"/>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46.75pt;height:171pt;visibility:visible">
                  <v:imagedata r:id="rId15" o:title=""/>
                </v:shape>
              </w:pict>
            </w:r>
          </w:p>
        </w:tc>
      </w:tr>
      <w:tr w:rsidR="007E27FE" w:rsidRPr="001E0363" w:rsidTr="00A01C15">
        <w:trPr>
          <w:trHeight w:val="3063"/>
        </w:trPr>
        <w:tc>
          <w:tcPr>
            <w:tcW w:w="5299" w:type="dxa"/>
          </w:tcPr>
          <w:p w:rsidR="007E27FE" w:rsidRPr="00CC323E" w:rsidRDefault="007E27FE" w:rsidP="00A01C15">
            <w:pPr>
              <w:spacing w:after="0"/>
              <w:jc w:val="both"/>
              <w:rPr>
                <w:rFonts w:ascii="Verdana" w:hAnsi="Verdana" w:cs="Calibri"/>
                <w:sz w:val="20"/>
                <w:szCs w:val="20"/>
              </w:rPr>
            </w:pPr>
          </w:p>
          <w:p w:rsidR="007E27FE" w:rsidRPr="00CC323E" w:rsidRDefault="007E27FE" w:rsidP="00A01C15">
            <w:pPr>
              <w:spacing w:after="0"/>
              <w:jc w:val="both"/>
              <w:rPr>
                <w:rFonts w:ascii="Verdana" w:hAnsi="Verdana" w:cs="Calibri"/>
                <w:sz w:val="20"/>
                <w:szCs w:val="20"/>
              </w:rPr>
            </w:pPr>
            <w:r w:rsidRPr="00CC323E">
              <w:rPr>
                <w:rFonts w:ascii="Verdana" w:hAnsi="Verdana" w:cs="Calibri"/>
                <w:sz w:val="20"/>
                <w:szCs w:val="20"/>
              </w:rPr>
              <w:t xml:space="preserve">Przyjęta nazwa urządzenia wg transkrypcji cyrylicy (czyli rosyjskie </w:t>
            </w:r>
            <w:r w:rsidRPr="00CC323E">
              <w:rPr>
                <w:rFonts w:ascii="Verdana" w:hAnsi="Verdana" w:cs="Calibri"/>
                <w:b/>
                <w:sz w:val="20"/>
                <w:szCs w:val="20"/>
              </w:rPr>
              <w:t>ННВ-6.6 И1УХЛ4</w:t>
            </w:r>
            <w:r w:rsidRPr="00CC323E">
              <w:rPr>
                <w:rFonts w:ascii="Verdana" w:hAnsi="Verdana" w:cs="Calibri"/>
                <w:sz w:val="20"/>
                <w:szCs w:val="20"/>
              </w:rPr>
              <w:t xml:space="preserve"> zamienione na polskie </w:t>
            </w:r>
            <w:r w:rsidRPr="00CC323E">
              <w:rPr>
                <w:rFonts w:ascii="Verdana" w:hAnsi="Verdana" w:cs="Calibri"/>
                <w:b/>
                <w:sz w:val="20"/>
                <w:szCs w:val="20"/>
              </w:rPr>
              <w:t>NNW-6.6 I1UHŁ4</w:t>
            </w:r>
            <w:r w:rsidRPr="00CC323E">
              <w:rPr>
                <w:rFonts w:ascii="Verdana" w:hAnsi="Verdana" w:cs="Calibri"/>
                <w:sz w:val="20"/>
                <w:szCs w:val="20"/>
              </w:rPr>
              <w:t xml:space="preserve">, a w wersji bez polskich znaków </w:t>
            </w:r>
            <w:r w:rsidRPr="00CC323E">
              <w:rPr>
                <w:rFonts w:ascii="Verdana" w:hAnsi="Verdana" w:cs="Calibri"/>
                <w:b/>
                <w:sz w:val="20"/>
                <w:szCs w:val="20"/>
              </w:rPr>
              <w:t>NNW-6.6 I1UHL4</w:t>
            </w:r>
            <w:r w:rsidRPr="00CC323E">
              <w:rPr>
                <w:rFonts w:ascii="Verdana" w:hAnsi="Verdana" w:cs="Calibri"/>
                <w:sz w:val="20"/>
                <w:szCs w:val="20"/>
              </w:rPr>
              <w:t xml:space="preserve">). Prawidłowa transliteracja nazwy rosyjskiej </w:t>
            </w:r>
            <w:r w:rsidRPr="00CC323E">
              <w:rPr>
                <w:rFonts w:ascii="Verdana" w:hAnsi="Verdana" w:cs="Calibri"/>
                <w:b/>
                <w:sz w:val="20"/>
                <w:szCs w:val="20"/>
              </w:rPr>
              <w:t>ННВ-6.6 И1УХЛ4</w:t>
            </w:r>
            <w:r w:rsidRPr="00CC323E">
              <w:rPr>
                <w:rFonts w:ascii="Verdana" w:hAnsi="Verdana" w:cs="Calibri"/>
                <w:sz w:val="20"/>
                <w:szCs w:val="20"/>
              </w:rPr>
              <w:t xml:space="preserve"> (zgodna z normą ISO 9:1995 i PN-ISO 9:2000) jest następująca: </w:t>
            </w:r>
            <w:r w:rsidRPr="00CC323E">
              <w:rPr>
                <w:rFonts w:ascii="Verdana" w:hAnsi="Verdana" w:cs="Calibri"/>
                <w:b/>
                <w:sz w:val="20"/>
                <w:szCs w:val="20"/>
              </w:rPr>
              <w:t>NNV-6.6 I1UHL4.</w:t>
            </w:r>
          </w:p>
        </w:tc>
        <w:tc>
          <w:tcPr>
            <w:tcW w:w="5299" w:type="dxa"/>
          </w:tcPr>
          <w:p w:rsidR="007E27FE" w:rsidRPr="00CC323E" w:rsidRDefault="007E27FE" w:rsidP="00A01C15">
            <w:pPr>
              <w:spacing w:after="0" w:line="240" w:lineRule="auto"/>
              <w:jc w:val="both"/>
              <w:rPr>
                <w:rFonts w:ascii="Verdana" w:hAnsi="Verdana" w:cs="Calibri"/>
                <w:sz w:val="20"/>
                <w:szCs w:val="20"/>
              </w:rPr>
            </w:pPr>
          </w:p>
          <w:p w:rsidR="007E27FE" w:rsidRPr="00CC323E" w:rsidRDefault="007E27FE" w:rsidP="00A01C15">
            <w:pPr>
              <w:spacing w:after="0" w:line="240" w:lineRule="auto"/>
              <w:jc w:val="both"/>
              <w:rPr>
                <w:rFonts w:ascii="Verdana" w:hAnsi="Verdana" w:cs="Calibri"/>
                <w:sz w:val="20"/>
                <w:szCs w:val="20"/>
                <w:lang w:val="en-GB"/>
              </w:rPr>
            </w:pPr>
            <w:r w:rsidRPr="00CC323E">
              <w:rPr>
                <w:rFonts w:ascii="Verdana" w:hAnsi="Verdana" w:cs="Calibri"/>
                <w:sz w:val="20"/>
                <w:szCs w:val="20"/>
                <w:lang w:val="en-GB"/>
              </w:rPr>
              <w:t xml:space="preserve">The name of the apparatus is expressed  according to the cyrillic transcription (i.e. Russian </w:t>
            </w:r>
            <w:r w:rsidRPr="00CC323E">
              <w:rPr>
                <w:rFonts w:ascii="Verdana" w:hAnsi="Verdana" w:cs="Calibri"/>
                <w:b/>
                <w:sz w:val="20"/>
                <w:szCs w:val="20"/>
                <w:lang w:val="en-GB"/>
              </w:rPr>
              <w:t>ННВ-6.6 И1УХЛ4</w:t>
            </w:r>
            <w:r w:rsidRPr="00CC323E">
              <w:rPr>
                <w:rFonts w:ascii="Verdana" w:hAnsi="Verdana" w:cs="Calibri"/>
                <w:sz w:val="20"/>
                <w:szCs w:val="20"/>
                <w:lang w:val="en-GB"/>
              </w:rPr>
              <w:t xml:space="preserve"> is changed to Polish </w:t>
            </w:r>
            <w:r w:rsidRPr="00CC323E">
              <w:rPr>
                <w:rFonts w:ascii="Verdana" w:hAnsi="Verdana" w:cs="Calibri"/>
                <w:b/>
                <w:sz w:val="20"/>
                <w:szCs w:val="20"/>
                <w:lang w:val="en-GB"/>
              </w:rPr>
              <w:t>NNW-6.6 I1UHŁ4</w:t>
            </w:r>
            <w:r w:rsidRPr="00CC323E">
              <w:rPr>
                <w:rFonts w:ascii="Verdana" w:hAnsi="Verdana" w:cs="Calibri"/>
                <w:sz w:val="20"/>
                <w:szCs w:val="20"/>
                <w:lang w:val="en-GB"/>
              </w:rPr>
              <w:t xml:space="preserve">, and in the version without Polish characters </w:t>
            </w:r>
            <w:r w:rsidRPr="00CC323E">
              <w:rPr>
                <w:rFonts w:ascii="Verdana" w:hAnsi="Verdana" w:cs="Calibri"/>
                <w:b/>
                <w:sz w:val="20"/>
                <w:szCs w:val="20"/>
                <w:lang w:val="en-GB"/>
              </w:rPr>
              <w:t>NNW-6.6 I1UHL4</w:t>
            </w:r>
            <w:r w:rsidRPr="00CC323E">
              <w:rPr>
                <w:rFonts w:ascii="Verdana" w:hAnsi="Verdana" w:cs="Calibri"/>
                <w:sz w:val="20"/>
                <w:szCs w:val="20"/>
                <w:lang w:val="en-GB"/>
              </w:rPr>
              <w:t xml:space="preserve">). The correct transliteration of the Russian name </w:t>
            </w:r>
            <w:r w:rsidRPr="00CC323E">
              <w:rPr>
                <w:rFonts w:ascii="Verdana" w:hAnsi="Verdana" w:cs="Calibri"/>
                <w:b/>
                <w:sz w:val="20"/>
                <w:szCs w:val="20"/>
                <w:lang w:val="en-GB"/>
              </w:rPr>
              <w:t xml:space="preserve">ННВ-6.6 И1УХЛ4 </w:t>
            </w:r>
            <w:r w:rsidRPr="00CC323E">
              <w:rPr>
                <w:rFonts w:ascii="Verdana" w:hAnsi="Verdana" w:cs="Calibri"/>
                <w:sz w:val="20"/>
                <w:szCs w:val="20"/>
                <w:lang w:val="en-GB"/>
              </w:rPr>
              <w:t xml:space="preserve">(compliant with ISO 9: 1995 and PN-ISO 9: 2000) is as follows: </w:t>
            </w:r>
            <w:r w:rsidRPr="00CC323E">
              <w:rPr>
                <w:rFonts w:ascii="Verdana" w:hAnsi="Verdana" w:cs="Calibri"/>
                <w:b/>
                <w:sz w:val="20"/>
                <w:szCs w:val="20"/>
                <w:lang w:val="en-GB"/>
              </w:rPr>
              <w:t>NNV-6.6 I1UHL4</w:t>
            </w:r>
            <w:r w:rsidRPr="00CC323E">
              <w:rPr>
                <w:rFonts w:ascii="Verdana" w:hAnsi="Verdana" w:cs="Calibri"/>
                <w:sz w:val="20"/>
                <w:szCs w:val="20"/>
                <w:lang w:val="en-GB"/>
              </w:rPr>
              <w:t>.</w:t>
            </w:r>
          </w:p>
        </w:tc>
      </w:tr>
      <w:tr w:rsidR="007E27FE" w:rsidRPr="001E0363" w:rsidTr="00A01C15">
        <w:tc>
          <w:tcPr>
            <w:tcW w:w="5299" w:type="dxa"/>
          </w:tcPr>
          <w:p w:rsidR="007E27FE" w:rsidRPr="00CC323E" w:rsidRDefault="007E27FE" w:rsidP="00A01C15">
            <w:pPr>
              <w:pStyle w:val="Default"/>
              <w:spacing w:line="276" w:lineRule="auto"/>
              <w:jc w:val="both"/>
              <w:rPr>
                <w:rFonts w:ascii="Verdana" w:hAnsi="Verdana" w:cs="Calibri"/>
                <w:sz w:val="20"/>
                <w:szCs w:val="20"/>
              </w:rPr>
            </w:pPr>
            <w:r w:rsidRPr="00CC323E">
              <w:rPr>
                <w:rFonts w:ascii="Verdana" w:hAnsi="Verdana" w:cs="Calibri"/>
                <w:b/>
                <w:bCs/>
                <w:sz w:val="20"/>
                <w:szCs w:val="20"/>
              </w:rPr>
              <w:t xml:space="preserve">OPIS PRZEDMIOTU ZAMÓWIENIA </w:t>
            </w:r>
          </w:p>
          <w:p w:rsidR="007E27FE" w:rsidRPr="00CC323E" w:rsidRDefault="007E27FE" w:rsidP="00A01C15">
            <w:pPr>
              <w:spacing w:after="0"/>
              <w:jc w:val="both"/>
              <w:rPr>
                <w:rFonts w:ascii="Verdana" w:hAnsi="Verdana" w:cs="Calibri"/>
                <w:sz w:val="20"/>
                <w:szCs w:val="20"/>
              </w:rPr>
            </w:pP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 xml:space="preserve">Przedmiotem zamówienia jest rozbudowa istniejącego w Sieć Badawcza Łukasiewicz - Krakowskim Instytucie Technologicznym </w:t>
            </w:r>
            <w:r w:rsidRPr="00CC323E">
              <w:rPr>
                <w:rFonts w:ascii="Verdana" w:hAnsi="Verdana" w:cs="Calibri"/>
                <w:bCs/>
                <w:sz w:val="20"/>
                <w:szCs w:val="20"/>
              </w:rPr>
              <w:t xml:space="preserve">urządzenia </w:t>
            </w:r>
            <w:r w:rsidRPr="00CC323E">
              <w:rPr>
                <w:rFonts w:ascii="Verdana" w:hAnsi="Verdana" w:cs="Calibri"/>
                <w:b/>
                <w:bCs/>
                <w:sz w:val="20"/>
                <w:szCs w:val="20"/>
              </w:rPr>
              <w:t xml:space="preserve">NNV-6.6 I1UHL4 </w:t>
            </w:r>
            <w:r w:rsidRPr="00CC323E">
              <w:rPr>
                <w:rFonts w:ascii="Verdana" w:hAnsi="Verdana" w:cs="Calibri"/>
                <w:bCs/>
                <w:sz w:val="20"/>
                <w:szCs w:val="20"/>
              </w:rPr>
              <w:t xml:space="preserve">(Rys. 1) do nanoszenia powłok metodą PVD o </w:t>
            </w:r>
            <w:r w:rsidRPr="00CC323E">
              <w:rPr>
                <w:rFonts w:ascii="Verdana" w:hAnsi="Verdana" w:cs="Calibri"/>
                <w:b/>
                <w:bCs/>
                <w:sz w:val="20"/>
                <w:szCs w:val="20"/>
              </w:rPr>
              <w:t xml:space="preserve">moduł dwuwiązkowego źródła jonów wraz z oprogramowaniem do sterowania oraz regulacją kontroli dopływu gazu do komory. </w:t>
            </w:r>
            <w:r w:rsidRPr="00CC323E">
              <w:rPr>
                <w:rFonts w:ascii="Verdana" w:hAnsi="Verdana"/>
                <w:bCs/>
                <w:kern w:val="24"/>
                <w:sz w:val="20"/>
                <w:szCs w:val="20"/>
              </w:rPr>
              <w:t xml:space="preserve">Urządzenie NNV-6.6, zakupione w odmianie </w:t>
            </w:r>
            <w:r w:rsidRPr="00CC323E">
              <w:rPr>
                <w:rFonts w:ascii="Verdana" w:hAnsi="Verdana" w:cs="Calibri"/>
                <w:bCs/>
                <w:sz w:val="20"/>
                <w:szCs w:val="20"/>
              </w:rPr>
              <w:t>I1UHL4</w:t>
            </w:r>
            <w:r w:rsidRPr="00CC323E">
              <w:rPr>
                <w:rFonts w:ascii="Verdana" w:hAnsi="Verdana"/>
                <w:bCs/>
                <w:kern w:val="24"/>
                <w:sz w:val="20"/>
                <w:szCs w:val="20"/>
              </w:rPr>
              <w:t xml:space="preserve">, było w Instytucie rozwijane, </w:t>
            </w:r>
            <w:r w:rsidRPr="00CC323E">
              <w:rPr>
                <w:rFonts w:ascii="Verdana" w:hAnsi="Verdana"/>
                <w:bCs/>
                <w:sz w:val="20"/>
                <w:szCs w:val="20"/>
              </w:rPr>
              <w:t xml:space="preserve">m.in. wyposażono urządzenie w nowe pompy rotacyjne produkcji niemieckiej firmy Pfeiffer typu DUO 20 z filtrami mgły olejowej ONF </w:t>
            </w:r>
            <w:smartTag w:uri="urn:schemas-microsoft-com:office:smarttags" w:element="metricconverter">
              <w:smartTagPr>
                <w:attr w:name="ProductID" w:val="25 L"/>
              </w:smartTagPr>
              <w:r w:rsidRPr="00CC323E">
                <w:rPr>
                  <w:rFonts w:ascii="Verdana" w:hAnsi="Verdana"/>
                  <w:bCs/>
                  <w:sz w:val="20"/>
                  <w:szCs w:val="20"/>
                </w:rPr>
                <w:t>25 L</w:t>
              </w:r>
            </w:smartTag>
            <w:r w:rsidRPr="00CC323E">
              <w:rPr>
                <w:rFonts w:ascii="Verdana" w:hAnsi="Verdana"/>
                <w:bCs/>
                <w:sz w:val="20"/>
                <w:szCs w:val="20"/>
              </w:rPr>
              <w:t xml:space="preserve"> i nowy układ sterowania z panelem dotykowym oraz nowymi włącznikami i przekaźnikami; zmiany te nie zmieniły pierwotnej sekwencji sterowania urządzeniem, a jedynie pozwoliły na szybsze uzyskiwanie próżni wstępnej i bardziej stabilne sterowanie procesem. </w:t>
            </w:r>
          </w:p>
          <w:p w:rsidR="007E27FE" w:rsidRPr="00CC323E" w:rsidRDefault="007E27FE" w:rsidP="00A01C15">
            <w:pPr>
              <w:pStyle w:val="ListParagraph"/>
              <w:spacing w:after="0"/>
              <w:ind w:left="360"/>
              <w:jc w:val="both"/>
              <w:rPr>
                <w:rFonts w:ascii="Verdana" w:hAnsi="Verdana" w:cs="Calibri"/>
                <w:sz w:val="20"/>
                <w:szCs w:val="20"/>
              </w:rPr>
            </w:pP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 xml:space="preserve">Zakłada się, że rozbudowa funkcjonującego w Sieć Badawcza Łukasiewicz - Krakowskim Instytucie Technologicznym </w:t>
            </w:r>
            <w:r w:rsidRPr="00CC323E">
              <w:rPr>
                <w:rFonts w:ascii="Verdana" w:hAnsi="Verdana" w:cs="Calibri"/>
                <w:bCs/>
                <w:sz w:val="20"/>
                <w:szCs w:val="20"/>
              </w:rPr>
              <w:t xml:space="preserve">urządzenia </w:t>
            </w:r>
            <w:r w:rsidRPr="00CC323E">
              <w:rPr>
                <w:rFonts w:ascii="Verdana" w:hAnsi="Verdana" w:cs="Calibri"/>
                <w:b/>
                <w:bCs/>
                <w:sz w:val="20"/>
                <w:szCs w:val="20"/>
              </w:rPr>
              <w:t>NNV-6.6 I1UHL4</w:t>
            </w:r>
            <w:r w:rsidRPr="00CC323E">
              <w:rPr>
                <w:rFonts w:ascii="Verdana" w:hAnsi="Verdana" w:cs="Calibri"/>
                <w:bCs/>
                <w:sz w:val="20"/>
                <w:szCs w:val="20"/>
              </w:rPr>
              <w:t xml:space="preserve"> będzie przeprowadzona z zapewnieniem </w:t>
            </w:r>
            <w:r w:rsidRPr="00CC323E">
              <w:rPr>
                <w:rFonts w:ascii="Verdana" w:hAnsi="Verdana" w:cs="Calibri"/>
                <w:sz w:val="20"/>
                <w:szCs w:val="20"/>
              </w:rPr>
              <w:t xml:space="preserve">pełnej integracji z rozbudowywanym urządzeniem modułu dwuwiązkowego </w:t>
            </w:r>
            <w:r w:rsidRPr="00CC323E">
              <w:rPr>
                <w:rFonts w:ascii="Verdana" w:hAnsi="Verdana" w:cs="Calibri"/>
                <w:bCs/>
                <w:sz w:val="20"/>
                <w:szCs w:val="20"/>
              </w:rPr>
              <w:t>źródła jonów</w:t>
            </w:r>
            <w:r w:rsidRPr="00CC323E">
              <w:rPr>
                <w:rFonts w:ascii="Verdana" w:hAnsi="Verdana" w:cs="Calibri"/>
                <w:sz w:val="20"/>
                <w:szCs w:val="20"/>
              </w:rPr>
              <w:t xml:space="preserve"> wraz z wszystkimi elementami wymienionymi w załączniku nr 1 do SIWZ. Szczegółowy opis przedmiotu zamówienia został określony w załączniku nr 1 do SIWZ.</w:t>
            </w:r>
          </w:p>
          <w:p w:rsidR="007E27FE" w:rsidRPr="00CC323E" w:rsidRDefault="007E27FE" w:rsidP="00A01C15">
            <w:pPr>
              <w:spacing w:after="0" w:line="240" w:lineRule="auto"/>
              <w:jc w:val="both"/>
              <w:rPr>
                <w:rFonts w:ascii="Verdana" w:hAnsi="Verdana" w:cs="Calibri"/>
                <w:sz w:val="20"/>
                <w:szCs w:val="20"/>
              </w:rPr>
            </w:pP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 xml:space="preserve">Rozbudowa istniejącego w Sieć Badawcza Łukasiewicz - Krakowskim Instytucie Technologicznym </w:t>
            </w:r>
            <w:r w:rsidRPr="00CC323E">
              <w:rPr>
                <w:rFonts w:ascii="Verdana" w:hAnsi="Verdana" w:cs="Calibri"/>
                <w:bCs/>
                <w:sz w:val="20"/>
                <w:szCs w:val="20"/>
              </w:rPr>
              <w:t xml:space="preserve">urządzenia </w:t>
            </w:r>
            <w:r w:rsidRPr="00CC323E">
              <w:rPr>
                <w:rFonts w:ascii="Verdana" w:hAnsi="Verdana" w:cs="Calibri"/>
                <w:b/>
                <w:bCs/>
                <w:sz w:val="20"/>
                <w:szCs w:val="20"/>
              </w:rPr>
              <w:t>NNV-6.6 I1UHL4</w:t>
            </w:r>
            <w:r w:rsidRPr="00CC323E">
              <w:rPr>
                <w:rFonts w:ascii="Verdana" w:hAnsi="Verdana" w:cs="Calibri"/>
                <w:bCs/>
                <w:sz w:val="20"/>
                <w:szCs w:val="20"/>
              </w:rPr>
              <w:t xml:space="preserve"> do nanoszenia powłok metodą PVD o </w:t>
            </w:r>
            <w:r w:rsidRPr="00CC323E">
              <w:rPr>
                <w:rFonts w:ascii="Verdana" w:hAnsi="Verdana" w:cs="Calibri"/>
                <w:b/>
                <w:bCs/>
                <w:sz w:val="20"/>
                <w:szCs w:val="20"/>
              </w:rPr>
              <w:t xml:space="preserve">moduł dwuwiązkowego źródła jonów wraz z oprogramowaniem do sterowania oraz regulacją kontroli dopływu gazu do komory </w:t>
            </w:r>
            <w:r w:rsidRPr="00CC323E">
              <w:rPr>
                <w:rFonts w:ascii="Verdana" w:hAnsi="Verdana" w:cs="Calibri"/>
                <w:bCs/>
                <w:sz w:val="20"/>
                <w:szCs w:val="20"/>
              </w:rPr>
              <w:t>przewiduje następujący zakres pracy:</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Udoskonalenie konstrukcji komory próżniowej Zamawiającego (Ł-KIT) oraz projekt dwuwiązkowego źródła jonów. Produkcja testowych tarcz kompozytowych.</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Wykonanie układu sterowania dla dwuwiązkowego źródła jonów.</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Opracowanie oprogramowania i przygotowanie dokumentacji eksploatacyjnej dla dwuwiązkowego źródła jonów.</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Wykonanie układu chłodzenia wodą oraz regulacji i kontroli dopływu gazu do komory próżniowej.</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Adaptacja i regulacja zasilaczy dwuwiązkowego źródła jonów.</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Wytworzenie dwuwiązkowego źródła jonów.</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Montaż, uruchomienie i regulacja zespołu dwuwiązkowego źródła jonów na wyposażeniu Wykonawcy.</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Demontaż, pakowanie i dostawa zespołu dwuwiązkowego źródła jonów do Zamawiającego (Ł</w:t>
            </w:r>
            <w:r w:rsidRPr="00CC323E">
              <w:rPr>
                <w:rFonts w:ascii="Verdana" w:hAnsi="Verdana"/>
                <w:sz w:val="20"/>
                <w:szCs w:val="20"/>
              </w:rPr>
              <w:noBreakHyphen/>
              <w:t>KIT).</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Montaż, uruchomienie i regulacja zespołu dwuwiązkowego źródła jonów na urządzeniach Zamawiającego (Ł-KIT).</w:t>
            </w:r>
          </w:p>
          <w:p w:rsidR="007E27FE" w:rsidRPr="00CC323E" w:rsidRDefault="007E27FE" w:rsidP="00A01C15">
            <w:pPr>
              <w:pStyle w:val="ListParagraph"/>
              <w:numPr>
                <w:ilvl w:val="0"/>
                <w:numId w:val="25"/>
              </w:numPr>
              <w:spacing w:after="0" w:line="240" w:lineRule="auto"/>
              <w:jc w:val="both"/>
              <w:rPr>
                <w:rFonts w:ascii="Verdana" w:hAnsi="Verdana" w:cs="Calibri"/>
                <w:sz w:val="20"/>
                <w:szCs w:val="20"/>
              </w:rPr>
            </w:pPr>
            <w:r w:rsidRPr="00CC323E">
              <w:rPr>
                <w:rFonts w:ascii="Verdana" w:hAnsi="Verdana"/>
                <w:sz w:val="20"/>
                <w:szCs w:val="20"/>
              </w:rPr>
              <w:t>Szkolenie personelu Zamawiającego (Ł-KIT) w zakresie wybranych metod technologicznych nanoszenia powłok kompozytowych.</w:t>
            </w:r>
          </w:p>
          <w:p w:rsidR="007E27FE" w:rsidRPr="00CC323E" w:rsidRDefault="007E27FE" w:rsidP="00A01C15">
            <w:pPr>
              <w:spacing w:after="0" w:line="240" w:lineRule="auto"/>
              <w:jc w:val="both"/>
              <w:rPr>
                <w:rFonts w:ascii="Verdana" w:hAnsi="Verdana" w:cs="Calibri"/>
                <w:sz w:val="20"/>
                <w:szCs w:val="20"/>
              </w:rPr>
            </w:pPr>
          </w:p>
        </w:tc>
        <w:tc>
          <w:tcPr>
            <w:tcW w:w="5299" w:type="dxa"/>
          </w:tcPr>
          <w:p w:rsidR="007E27FE" w:rsidRPr="00CC323E" w:rsidRDefault="007E27FE" w:rsidP="00A01C15">
            <w:pPr>
              <w:spacing w:after="0"/>
              <w:jc w:val="both"/>
              <w:rPr>
                <w:rFonts w:ascii="Verdana" w:hAnsi="Verdana" w:cs="Calibri"/>
                <w:b/>
                <w:sz w:val="20"/>
                <w:szCs w:val="20"/>
                <w:lang w:val="en-GB"/>
              </w:rPr>
            </w:pPr>
            <w:r w:rsidRPr="00CC323E">
              <w:rPr>
                <w:rFonts w:ascii="Verdana" w:hAnsi="Verdana" w:cs="Calibri"/>
                <w:b/>
                <w:sz w:val="20"/>
                <w:szCs w:val="20"/>
                <w:lang w:val="en-GB"/>
              </w:rPr>
              <w:t>ORDER DESCRIPTION</w:t>
            </w:r>
          </w:p>
          <w:p w:rsidR="007E27FE" w:rsidRPr="00CC323E" w:rsidRDefault="007E27FE" w:rsidP="00A01C15">
            <w:pPr>
              <w:spacing w:after="0"/>
              <w:jc w:val="both"/>
              <w:rPr>
                <w:rFonts w:ascii="Verdana" w:hAnsi="Verdana" w:cs="Calibri"/>
                <w:sz w:val="20"/>
                <w:szCs w:val="20"/>
                <w:lang w:val="en-GB"/>
              </w:rPr>
            </w:pP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 xml:space="preserve">The subject of the contract is the enlargement of the operation of the existing </w:t>
            </w:r>
            <w:r w:rsidRPr="00CC323E">
              <w:rPr>
                <w:rFonts w:ascii="Verdana" w:hAnsi="Verdana" w:cs="Calibri"/>
                <w:b/>
                <w:sz w:val="20"/>
                <w:szCs w:val="20"/>
                <w:lang w:val="en-GB"/>
              </w:rPr>
              <w:t>NNV-6.6 I1UHL4</w:t>
            </w:r>
            <w:r w:rsidRPr="00CC323E">
              <w:rPr>
                <w:rFonts w:ascii="Verdana" w:hAnsi="Verdana" w:cs="Calibri"/>
                <w:sz w:val="20"/>
                <w:szCs w:val="20"/>
                <w:lang w:val="en-GB"/>
              </w:rPr>
              <w:t xml:space="preserve"> (Fig. 1) PVD coating apparatus, situated in the Łukasiewicz Research Network - Krakow Institute of Technology, </w:t>
            </w:r>
            <w:r w:rsidRPr="00CC323E">
              <w:rPr>
                <w:rFonts w:ascii="Verdana" w:hAnsi="Verdana" w:cs="Calibri"/>
                <w:b/>
                <w:sz w:val="20"/>
                <w:szCs w:val="20"/>
                <w:lang w:val="en-GB"/>
              </w:rPr>
              <w:t>by incorporating a module of dual-beam ion source together with software for regulation and control of the chamber gas supply</w:t>
            </w:r>
            <w:r w:rsidRPr="00CC323E">
              <w:rPr>
                <w:rFonts w:ascii="Verdana" w:hAnsi="Verdana" w:cs="Calibri"/>
                <w:sz w:val="20"/>
                <w:szCs w:val="20"/>
                <w:lang w:val="en-GB"/>
              </w:rPr>
              <w:t xml:space="preserve">. The NNV-6.6 apparatus, purchased as the I1UHL4 variant, was modified at the Institute, including equipping with new rotary type DUO 20 pumps, produced by the German company Pfeiffer, with ONF </w:t>
            </w:r>
            <w:smartTag w:uri="urn:schemas-microsoft-com:office:smarttags" w:element="metricconverter">
              <w:smartTagPr>
                <w:attr w:name="ProductID" w:val="25 L"/>
              </w:smartTagPr>
              <w:r w:rsidRPr="00CC323E">
                <w:rPr>
                  <w:rFonts w:ascii="Verdana" w:hAnsi="Verdana" w:cs="Calibri"/>
                  <w:sz w:val="20"/>
                  <w:szCs w:val="20"/>
                  <w:lang w:val="en-GB"/>
                </w:rPr>
                <w:t>25 L</w:t>
              </w:r>
            </w:smartTag>
            <w:r w:rsidRPr="00CC323E">
              <w:rPr>
                <w:rFonts w:ascii="Verdana" w:hAnsi="Verdana" w:cs="Calibri"/>
                <w:sz w:val="20"/>
                <w:szCs w:val="20"/>
                <w:lang w:val="en-GB"/>
              </w:rPr>
              <w:t xml:space="preserve"> oil mist filters, and a new control system with a touch panel and new switches and relays. These changes did not change the original machine control sequence, but only enabled a faster attainment of initial vacuum and more stable process control.</w:t>
            </w:r>
          </w:p>
          <w:p w:rsidR="007E27FE" w:rsidRPr="00CC323E" w:rsidRDefault="007E27FE" w:rsidP="00A01C15">
            <w:pPr>
              <w:pStyle w:val="ListParagraph"/>
              <w:spacing w:after="0"/>
              <w:ind w:left="360"/>
              <w:jc w:val="both"/>
              <w:rPr>
                <w:rFonts w:ascii="Verdana" w:hAnsi="Verdana" w:cs="Calibri"/>
                <w:sz w:val="20"/>
                <w:szCs w:val="20"/>
                <w:lang w:val="en-GB"/>
              </w:rPr>
            </w:pPr>
          </w:p>
          <w:p w:rsidR="007E27FE" w:rsidRPr="00CC323E" w:rsidRDefault="007E27FE" w:rsidP="00A01C15">
            <w:pPr>
              <w:pStyle w:val="ListParagraph"/>
              <w:spacing w:after="0"/>
              <w:ind w:left="360"/>
              <w:jc w:val="both"/>
              <w:rPr>
                <w:rFonts w:ascii="Verdana" w:hAnsi="Verdana" w:cs="Calibri"/>
                <w:sz w:val="20"/>
                <w:szCs w:val="20"/>
                <w:lang w:val="en-GB"/>
              </w:rPr>
            </w:pP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 xml:space="preserve">It is assumed that the development of the </w:t>
            </w:r>
            <w:r w:rsidRPr="00CC323E">
              <w:rPr>
                <w:rFonts w:ascii="Verdana" w:hAnsi="Verdana" w:cs="Calibri"/>
                <w:b/>
                <w:sz w:val="20"/>
                <w:szCs w:val="20"/>
                <w:lang w:val="en-GB"/>
              </w:rPr>
              <w:t>NNV-6.6 I1UHL4</w:t>
            </w:r>
            <w:r w:rsidRPr="00CC323E">
              <w:rPr>
                <w:rFonts w:ascii="Verdana" w:hAnsi="Verdana" w:cs="Calibri"/>
                <w:sz w:val="20"/>
                <w:szCs w:val="20"/>
                <w:lang w:val="en-GB"/>
              </w:rPr>
              <w:t xml:space="preserve"> apparatus, functioning in the Łukasiewicz Research Network - Krakow Institute of Technology, will be carried out with full integration with the developed two-beam ion source module and all the elements listed in Annex 1 to the Terms of Reference.</w:t>
            </w:r>
            <w:r w:rsidRPr="00CC323E">
              <w:rPr>
                <w:lang w:val="en-GB"/>
              </w:rPr>
              <w:t xml:space="preserve"> </w:t>
            </w:r>
            <w:r w:rsidRPr="00CC323E">
              <w:rPr>
                <w:rFonts w:ascii="Verdana" w:hAnsi="Verdana" w:cs="Calibri"/>
                <w:sz w:val="20"/>
                <w:szCs w:val="20"/>
                <w:lang w:val="en-GB"/>
              </w:rPr>
              <w:t>A detailed description of the order has been specified in Annex 1 to the Terms of Reference.</w:t>
            </w:r>
          </w:p>
          <w:p w:rsidR="007E27FE" w:rsidRPr="00CC323E" w:rsidRDefault="007E27FE" w:rsidP="00A01C15">
            <w:pPr>
              <w:pStyle w:val="ListParagraph"/>
              <w:spacing w:after="0"/>
              <w:ind w:left="360"/>
              <w:jc w:val="both"/>
              <w:rPr>
                <w:rFonts w:ascii="Verdana" w:hAnsi="Verdana" w:cs="Calibri"/>
                <w:sz w:val="20"/>
                <w:szCs w:val="20"/>
                <w:lang w:val="en-GB"/>
              </w:rPr>
            </w:pPr>
          </w:p>
          <w:p w:rsidR="007E27FE" w:rsidRPr="00CC323E" w:rsidRDefault="007E27FE" w:rsidP="00A01C15">
            <w:pPr>
              <w:pStyle w:val="ListParagraph"/>
              <w:spacing w:after="0"/>
              <w:ind w:left="360"/>
              <w:jc w:val="both"/>
              <w:rPr>
                <w:rFonts w:ascii="Verdana" w:hAnsi="Verdana" w:cs="Calibri"/>
                <w:sz w:val="20"/>
                <w:szCs w:val="20"/>
                <w:lang w:val="en-GB"/>
              </w:rPr>
            </w:pP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 xml:space="preserve">Enlargement of the operation of the PVD </w:t>
            </w:r>
            <w:r w:rsidRPr="00CC323E">
              <w:rPr>
                <w:rFonts w:ascii="Verdana" w:hAnsi="Verdana" w:cs="Calibri"/>
                <w:b/>
                <w:sz w:val="20"/>
                <w:szCs w:val="20"/>
                <w:lang w:val="en-GB"/>
              </w:rPr>
              <w:t>NNV-6.6 I1UHL4</w:t>
            </w:r>
            <w:r w:rsidRPr="00CC323E">
              <w:rPr>
                <w:rFonts w:ascii="Verdana" w:hAnsi="Verdana" w:cs="Calibri"/>
                <w:sz w:val="20"/>
                <w:szCs w:val="20"/>
                <w:lang w:val="en-GB"/>
              </w:rPr>
              <w:t xml:space="preserve"> coating apparatus located in the Łukasiewicz Research Network - Krakow Institute of Technology by incorporating </w:t>
            </w:r>
            <w:r w:rsidRPr="00CC323E">
              <w:rPr>
                <w:rFonts w:ascii="Verdana" w:hAnsi="Verdana" w:cs="Calibri"/>
                <w:b/>
                <w:sz w:val="20"/>
                <w:szCs w:val="20"/>
                <w:lang w:val="en-GB"/>
              </w:rPr>
              <w:t xml:space="preserve">a module of dual-beam ion source together with software for control and regulation of the gas supply to the chamber </w:t>
            </w:r>
            <w:r w:rsidRPr="00CC323E">
              <w:rPr>
                <w:rFonts w:ascii="Verdana" w:hAnsi="Verdana" w:cs="Calibri"/>
                <w:sz w:val="20"/>
                <w:szCs w:val="20"/>
                <w:lang w:val="en-GB"/>
              </w:rPr>
              <w:t>envisages the following scope of work:</w:t>
            </w:r>
          </w:p>
          <w:p w:rsidR="007E27FE" w:rsidRPr="00CC323E" w:rsidRDefault="007E27FE" w:rsidP="00A01C15">
            <w:pPr>
              <w:spacing w:after="0" w:line="240" w:lineRule="auto"/>
              <w:jc w:val="both"/>
              <w:rPr>
                <w:rFonts w:ascii="Verdana" w:hAnsi="Verdana" w:cs="Calibri"/>
                <w:sz w:val="20"/>
                <w:szCs w:val="20"/>
                <w:lang w:val="en-GB"/>
              </w:rPr>
            </w:pP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 xml:space="preserve">Improvement of the vacuum chamber design of the Purchaser </w:t>
            </w:r>
            <w:r w:rsidRPr="00CC323E">
              <w:rPr>
                <w:rFonts w:ascii="Verdana" w:hAnsi="Verdana"/>
                <w:sz w:val="20"/>
                <w:szCs w:val="20"/>
                <w:lang w:val="en-GB"/>
              </w:rPr>
              <w:t>(Ł-KIT) a</w:t>
            </w:r>
            <w:r w:rsidRPr="00CC323E">
              <w:rPr>
                <w:rFonts w:ascii="Verdana" w:hAnsi="Verdana" w:cs="Calibri"/>
                <w:sz w:val="20"/>
                <w:szCs w:val="20"/>
                <w:lang w:val="en-GB"/>
              </w:rPr>
              <w:t>nd the design of the dual-beam ion source. Production of composite test targets.</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Manufacture of a control system for a dual-beam ion source.</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Development of software and preparation of operational documentation for a dual-beam ion source.</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Manufacture of a water cooling system and of control of gas supply to the vacuum chamber.</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Adaptation and adjustment of a dual-beam ion source power supplies.</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Manufacture of a dual-beam ion source.</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Assembly, start-up and adjustment of the dual-beam ion source on the Contractor's equipment.</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Disassembly, packaging and delivery of the dual-beam ion source to the Purchaser (Ł-KIT).</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Assembly, start-up and adjustment of the dual-beam ion source on the Purchaser equipment (Ł-KIT).</w:t>
            </w:r>
          </w:p>
          <w:p w:rsidR="007E27FE" w:rsidRPr="00CC323E" w:rsidRDefault="007E27FE" w:rsidP="00A01C15">
            <w:pPr>
              <w:pStyle w:val="ListParagraph"/>
              <w:numPr>
                <w:ilvl w:val="0"/>
                <w:numId w:val="27"/>
              </w:numPr>
              <w:spacing w:after="0" w:line="240" w:lineRule="auto"/>
              <w:jc w:val="both"/>
              <w:rPr>
                <w:rFonts w:ascii="Verdana" w:hAnsi="Verdana" w:cs="Calibri"/>
                <w:sz w:val="20"/>
                <w:szCs w:val="20"/>
                <w:lang w:val="en-GB"/>
              </w:rPr>
            </w:pPr>
            <w:r w:rsidRPr="00CC323E">
              <w:rPr>
                <w:rFonts w:ascii="Verdana" w:hAnsi="Verdana" w:cs="Calibri"/>
                <w:sz w:val="20"/>
                <w:szCs w:val="20"/>
                <w:lang w:val="en-GB"/>
              </w:rPr>
              <w:t xml:space="preserve">Training of Purchaser (Ł-KIT) personnel in some technological methods of deposition of composite coatings. </w:t>
            </w:r>
          </w:p>
        </w:tc>
      </w:tr>
      <w:tr w:rsidR="007E27FE" w:rsidRPr="00CC323E" w:rsidTr="00A01C15">
        <w:tc>
          <w:tcPr>
            <w:tcW w:w="10598" w:type="dxa"/>
            <w:gridSpan w:val="2"/>
          </w:tcPr>
          <w:p w:rsidR="007E27FE" w:rsidRPr="00CC323E" w:rsidRDefault="007E27FE" w:rsidP="00A01C15">
            <w:pPr>
              <w:keepNext/>
              <w:spacing w:after="0"/>
              <w:jc w:val="center"/>
              <w:rPr>
                <w:rFonts w:ascii="Verdana" w:hAnsi="Verdana"/>
                <w:sz w:val="20"/>
                <w:szCs w:val="20"/>
                <w:lang w:val="en-GB"/>
              </w:rPr>
            </w:pPr>
          </w:p>
          <w:p w:rsidR="007E27FE" w:rsidRPr="00CC323E" w:rsidRDefault="007E27FE" w:rsidP="00A01C15">
            <w:pPr>
              <w:keepNext/>
              <w:spacing w:after="0"/>
              <w:jc w:val="center"/>
              <w:rPr>
                <w:rFonts w:ascii="Verdana" w:hAnsi="Verdana"/>
                <w:sz w:val="20"/>
                <w:szCs w:val="20"/>
                <w:lang w:val="en-GB"/>
              </w:rPr>
            </w:pPr>
            <w:r w:rsidRPr="0024400C">
              <w:rPr>
                <w:rFonts w:ascii="Verdana" w:hAnsi="Verdana" w:cs="Calibri"/>
                <w:noProof/>
                <w:sz w:val="20"/>
                <w:szCs w:val="20"/>
                <w:lang w:eastAsia="pl-PL"/>
              </w:rPr>
              <w:pict>
                <v:shape id="Obraz 2" o:spid="_x0000_i1026" type="#_x0000_t75" alt="NNW-6" style="width:354.75pt;height:266.25pt;visibility:visible">
                  <v:imagedata r:id="rId16" o:title=""/>
                </v:shape>
              </w:pict>
            </w:r>
          </w:p>
          <w:p w:rsidR="007E27FE" w:rsidRPr="00CC323E" w:rsidRDefault="007E27FE" w:rsidP="00A01C15">
            <w:pPr>
              <w:pStyle w:val="Caption"/>
              <w:spacing w:after="0" w:line="276" w:lineRule="auto"/>
              <w:jc w:val="center"/>
              <w:rPr>
                <w:rFonts w:ascii="Verdana" w:hAnsi="Verdana"/>
                <w:b w:val="0"/>
                <w:lang w:val="en-GB"/>
              </w:rPr>
            </w:pPr>
            <w:r w:rsidRPr="00CC323E">
              <w:rPr>
                <w:rFonts w:ascii="Verdana" w:hAnsi="Verdana"/>
              </w:rPr>
              <w:t xml:space="preserve">Rys.  </w:t>
            </w:r>
            <w:r w:rsidRPr="00CC323E">
              <w:rPr>
                <w:rFonts w:ascii="Verdana" w:hAnsi="Verdana"/>
                <w:noProof/>
              </w:rPr>
              <w:t>1</w:t>
            </w:r>
            <w:r w:rsidRPr="00CC323E">
              <w:rPr>
                <w:rFonts w:ascii="Verdana" w:hAnsi="Verdana"/>
              </w:rPr>
              <w:t xml:space="preserve"> </w:t>
            </w:r>
            <w:r w:rsidRPr="00CC323E">
              <w:rPr>
                <w:rFonts w:ascii="Verdana" w:hAnsi="Verdana"/>
                <w:b w:val="0"/>
              </w:rPr>
              <w:t xml:space="preserve">Urządzenie </w:t>
            </w:r>
            <w:r w:rsidRPr="00CC323E">
              <w:rPr>
                <w:rFonts w:ascii="Verdana" w:hAnsi="Verdana" w:cs="Calibri"/>
                <w:bCs/>
              </w:rPr>
              <w:t xml:space="preserve">NNV-6.6 I1UHL4 </w:t>
            </w:r>
            <w:r w:rsidRPr="00CC323E">
              <w:rPr>
                <w:rFonts w:ascii="Verdana" w:hAnsi="Verdana"/>
                <w:b w:val="0"/>
              </w:rPr>
              <w:t xml:space="preserve">do nanoszenia powłok metodą PVD (widok z przodu). </w:t>
            </w:r>
            <w:r w:rsidRPr="00CC323E">
              <w:rPr>
                <w:rFonts w:ascii="Verdana" w:hAnsi="Verdana"/>
                <w:b w:val="0"/>
              </w:rPr>
              <w:br/>
              <w:t xml:space="preserve">Na pierwszym planie widoczny korpus komory roboczej z otwieraną klapą, </w:t>
            </w:r>
            <w:r w:rsidRPr="00CC323E">
              <w:rPr>
                <w:rFonts w:ascii="Verdana" w:hAnsi="Verdana"/>
                <w:b w:val="0"/>
              </w:rPr>
              <w:br/>
              <w:t xml:space="preserve">osłoniętymi katodami i umieszczonym w górnej części zaworem </w:t>
            </w:r>
            <w:r w:rsidRPr="00CC323E">
              <w:rPr>
                <w:rFonts w:ascii="Verdana" w:hAnsi="Verdana"/>
                <w:b w:val="0"/>
              </w:rPr>
              <w:br/>
              <w:t xml:space="preserve">i dozownikiem gazu roboczego. </w:t>
            </w:r>
            <w:r w:rsidRPr="00CC323E">
              <w:rPr>
                <w:rFonts w:ascii="Verdana" w:hAnsi="Verdana"/>
                <w:b w:val="0"/>
                <w:lang w:val="en-GB"/>
              </w:rPr>
              <w:t>W głębi szafy sterownicze.</w:t>
            </w:r>
          </w:p>
          <w:p w:rsidR="007E27FE" w:rsidRPr="00CC323E" w:rsidRDefault="007E27FE" w:rsidP="00A01C15">
            <w:pPr>
              <w:spacing w:after="0" w:line="240" w:lineRule="auto"/>
              <w:rPr>
                <w:lang w:val="en-GB"/>
              </w:rPr>
            </w:pPr>
          </w:p>
          <w:p w:rsidR="007E27FE" w:rsidRPr="00CC323E" w:rsidRDefault="007E27FE" w:rsidP="00A01C15">
            <w:pPr>
              <w:pStyle w:val="Caption"/>
              <w:spacing w:after="0" w:line="276" w:lineRule="auto"/>
              <w:jc w:val="center"/>
              <w:rPr>
                <w:rFonts w:ascii="Verdana" w:hAnsi="Verdana" w:cs="Calibri"/>
                <w:b w:val="0"/>
                <w:bCs/>
                <w:lang w:val="en-GB"/>
              </w:rPr>
            </w:pPr>
            <w:r w:rsidRPr="00CC323E">
              <w:rPr>
                <w:rFonts w:ascii="Verdana" w:hAnsi="Verdana"/>
                <w:lang w:val="en-GB"/>
              </w:rPr>
              <w:t xml:space="preserve">Fig.  </w:t>
            </w:r>
            <w:r w:rsidRPr="00CC323E">
              <w:rPr>
                <w:rFonts w:ascii="Verdana" w:hAnsi="Verdana"/>
                <w:noProof/>
                <w:lang w:val="en-GB"/>
              </w:rPr>
              <w:t>1</w:t>
            </w:r>
            <w:r w:rsidRPr="00CC323E">
              <w:rPr>
                <w:rFonts w:ascii="Verdana" w:hAnsi="Verdana"/>
                <w:lang w:val="en-GB"/>
              </w:rPr>
              <w:t xml:space="preserve"> </w:t>
            </w:r>
            <w:r w:rsidRPr="00CC323E">
              <w:rPr>
                <w:rFonts w:ascii="Verdana" w:hAnsi="Verdana"/>
                <w:b w:val="0"/>
                <w:lang w:val="en-GB"/>
              </w:rPr>
              <w:t xml:space="preserve">The </w:t>
            </w:r>
            <w:r w:rsidRPr="00CC323E">
              <w:rPr>
                <w:rFonts w:ascii="Verdana" w:hAnsi="Verdana" w:cs="Calibri"/>
                <w:bCs/>
                <w:lang w:val="en-GB"/>
              </w:rPr>
              <w:t xml:space="preserve">NNV-6.6 I1UHL4 </w:t>
            </w:r>
            <w:r w:rsidRPr="00CC323E">
              <w:rPr>
                <w:rFonts w:ascii="Verdana" w:hAnsi="Verdana" w:cs="Calibri"/>
                <w:b w:val="0"/>
                <w:bCs/>
                <w:lang w:val="en-GB"/>
              </w:rPr>
              <w:t xml:space="preserve">apparatus for PVD coating depositon (front view). </w:t>
            </w:r>
            <w:r w:rsidRPr="00CC323E">
              <w:rPr>
                <w:rFonts w:ascii="Verdana" w:hAnsi="Verdana" w:cs="Calibri"/>
                <w:b w:val="0"/>
                <w:bCs/>
                <w:lang w:val="en-GB"/>
              </w:rPr>
              <w:br/>
              <w:t xml:space="preserve">In the foreground, the chamber body with an opening flap, shielded cathodes and </w:t>
            </w:r>
            <w:r w:rsidRPr="00CC323E">
              <w:rPr>
                <w:rFonts w:ascii="Verdana" w:hAnsi="Verdana" w:cs="Calibri"/>
                <w:b w:val="0"/>
                <w:bCs/>
                <w:lang w:val="en-GB"/>
              </w:rPr>
              <w:br/>
              <w:t xml:space="preserve">the valve and the dispenser of working gas, located in the upper part are visible. </w:t>
            </w:r>
            <w:r w:rsidRPr="00CC323E">
              <w:rPr>
                <w:rFonts w:ascii="Verdana" w:hAnsi="Verdana" w:cs="Calibri"/>
                <w:b w:val="0"/>
                <w:bCs/>
                <w:lang w:val="en-GB"/>
              </w:rPr>
              <w:br/>
              <w:t>In the background there are control cabinets.</w:t>
            </w:r>
          </w:p>
          <w:p w:rsidR="007E27FE" w:rsidRPr="00CC323E" w:rsidRDefault="007E27FE" w:rsidP="00A01C15">
            <w:pPr>
              <w:spacing w:after="0" w:line="240" w:lineRule="auto"/>
              <w:rPr>
                <w:lang w:val="en-GB"/>
              </w:rPr>
            </w:pPr>
          </w:p>
        </w:tc>
      </w:tr>
      <w:tr w:rsidR="007E27FE" w:rsidRPr="001E0363" w:rsidTr="00A01C15">
        <w:tc>
          <w:tcPr>
            <w:tcW w:w="5299" w:type="dxa"/>
          </w:tcPr>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Na przedmiot zamówienia Wykonawca udzieli gwarancji „pełny zakres” (nie dotyczy materiałów eksploatacyjnych) na okres 12 miesięcy.</w:t>
            </w: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 xml:space="preserve">Wykonawca przeprowadzi szkolenie personelu Zamawiającego w zakresie obsługi </w:t>
            </w:r>
            <w:r w:rsidRPr="00CC323E">
              <w:rPr>
                <w:rFonts w:ascii="Verdana" w:hAnsi="Verdana" w:cs="Calibri"/>
                <w:bCs/>
                <w:sz w:val="20"/>
                <w:szCs w:val="20"/>
              </w:rPr>
              <w:t xml:space="preserve">modułu dwuwiązkowego źródła jonów oraz </w:t>
            </w:r>
            <w:r w:rsidRPr="00CC323E">
              <w:rPr>
                <w:rFonts w:ascii="Verdana" w:hAnsi="Verdana"/>
                <w:sz w:val="20"/>
                <w:szCs w:val="20"/>
              </w:rPr>
              <w:t>wybranych metod technologicznych nanoszenia powłok kompozytowych. Szkolenie odbędzie się po zamontowaniu układu w siedzibie Zamawiającego (Łukasiewicz – Krakowskim Instytucie Technologicznym). Przewidywana liczba godzin szkolenia obejmuje 16 godzin. W szkoleniu uczestniczyć będą 3 osoby wskazane przez Zamawiającego.</w:t>
            </w: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 xml:space="preserve">Instrukcja obsługi nowego </w:t>
            </w:r>
            <w:r w:rsidRPr="00CC323E">
              <w:rPr>
                <w:rFonts w:ascii="Verdana" w:hAnsi="Verdana" w:cs="Calibri"/>
                <w:bCs/>
                <w:sz w:val="20"/>
                <w:szCs w:val="20"/>
              </w:rPr>
              <w:t xml:space="preserve">modułu dwuwiązkowego źródła jonów </w:t>
            </w:r>
            <w:r w:rsidRPr="00CC323E">
              <w:rPr>
                <w:rFonts w:ascii="Verdana" w:hAnsi="Verdana" w:cs="Calibri"/>
                <w:sz w:val="20"/>
                <w:szCs w:val="20"/>
              </w:rPr>
              <w:t>zostanie dostarczona przez Wykonawcę w języku  oryginalnym, którego używa Wykonawca wraz z jej tłumaczeniem na język angielski/polski.</w:t>
            </w: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Wykonawca przekaże Zamawiającemu Dokumentację Techniczno-Rozruchową obejmującą co najmniej: schematy elektryczne nowego modułu, niezbędne rysunki złożeniowe potrzebne do montażu oraz rysunki wykonawcze elementów podlegających zużywaniu się i wymianie, w tym uszczelki, targety itd.</w:t>
            </w:r>
          </w:p>
          <w:p w:rsidR="007E27FE" w:rsidRPr="00CC323E" w:rsidRDefault="007E27FE" w:rsidP="00A01C15">
            <w:pPr>
              <w:pStyle w:val="ListParagraph"/>
              <w:numPr>
                <w:ilvl w:val="0"/>
                <w:numId w:val="24"/>
              </w:numPr>
              <w:spacing w:after="0"/>
              <w:jc w:val="both"/>
              <w:rPr>
                <w:rFonts w:ascii="Verdana" w:hAnsi="Verdana" w:cs="Calibri"/>
                <w:sz w:val="20"/>
                <w:szCs w:val="20"/>
              </w:rPr>
            </w:pPr>
            <w:r w:rsidRPr="00CC323E">
              <w:rPr>
                <w:rFonts w:ascii="Verdana" w:hAnsi="Verdana" w:cs="Calibri"/>
                <w:sz w:val="20"/>
                <w:szCs w:val="20"/>
              </w:rPr>
              <w:t xml:space="preserve">Termin realizacji zamówienia: </w:t>
            </w:r>
            <w:r w:rsidRPr="00CC323E">
              <w:rPr>
                <w:rFonts w:ascii="Verdana" w:hAnsi="Verdana" w:cs="Calibri"/>
                <w:b/>
                <w:sz w:val="20"/>
                <w:szCs w:val="20"/>
              </w:rPr>
              <w:t>do 8 miesięcy</w:t>
            </w:r>
            <w:r w:rsidRPr="00CC323E">
              <w:rPr>
                <w:rFonts w:ascii="Verdana" w:hAnsi="Verdana" w:cs="Calibri"/>
                <w:sz w:val="20"/>
                <w:szCs w:val="20"/>
              </w:rPr>
              <w:t xml:space="preserve"> od podpisania umowy.</w:t>
            </w:r>
          </w:p>
          <w:p w:rsidR="007E27FE" w:rsidRPr="00CC323E" w:rsidRDefault="007E27FE" w:rsidP="00A01C15">
            <w:pPr>
              <w:spacing w:after="0" w:line="240" w:lineRule="auto"/>
              <w:jc w:val="center"/>
              <w:rPr>
                <w:rFonts w:ascii="Verdana" w:hAnsi="Verdana"/>
                <w:b/>
                <w:sz w:val="20"/>
                <w:szCs w:val="20"/>
              </w:rPr>
            </w:pPr>
          </w:p>
        </w:tc>
        <w:tc>
          <w:tcPr>
            <w:tcW w:w="5299" w:type="dxa"/>
          </w:tcPr>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sz w:val="20"/>
                <w:szCs w:val="20"/>
                <w:lang w:val="en-GB"/>
              </w:rPr>
              <w:t>The contractor provides a "full scope" warranty (not applicable to consumables) for the subject of the contract for a period of 12 months.</w:t>
            </w: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The contractor will conduct the training of the Purchaser personnel in the use of the dual-beam ion source module and some technological methods of deposition of composite coatings. The training will take place after the system has been installed at the premises of the Purchaser, Łukasiewicz Research Network – Krakow Institute of Technology. The expected number of training hours is 16.</w:t>
            </w:r>
            <w:r w:rsidRPr="00CC323E">
              <w:rPr>
                <w:lang w:val="en-GB"/>
              </w:rPr>
              <w:t xml:space="preserve"> </w:t>
            </w:r>
            <w:r w:rsidRPr="00CC323E">
              <w:rPr>
                <w:rFonts w:ascii="Verdana" w:hAnsi="Verdana" w:cs="Calibri"/>
                <w:sz w:val="20"/>
                <w:szCs w:val="20"/>
                <w:lang w:val="en-GB"/>
              </w:rPr>
              <w:t>The training will be attended by 3 persons chosen by the Purchaser.</w:t>
            </w: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User manual for the new dual-beam ion source module will be delivered by the Contractor in the original language used by the Contractor along with its translation into English / Polish.</w:t>
            </w: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The Contractor shall provide the Purchaser with the Technical and Commissioning Documentation covering at least: electrical diagrams of the new module, necessary assembly drawings required for installation and manufacturing, drawings of components subject to wear and replacement, including gaskets, targets. etc.</w:t>
            </w:r>
          </w:p>
          <w:p w:rsidR="007E27FE" w:rsidRPr="00CC323E" w:rsidRDefault="007E27FE" w:rsidP="00A01C15">
            <w:pPr>
              <w:pStyle w:val="ListParagraph"/>
              <w:numPr>
                <w:ilvl w:val="0"/>
                <w:numId w:val="26"/>
              </w:numPr>
              <w:spacing w:after="0"/>
              <w:jc w:val="both"/>
              <w:rPr>
                <w:rFonts w:ascii="Verdana" w:hAnsi="Verdana" w:cs="Calibri"/>
                <w:sz w:val="20"/>
                <w:szCs w:val="20"/>
                <w:lang w:val="en-GB"/>
              </w:rPr>
            </w:pPr>
            <w:r w:rsidRPr="00CC323E">
              <w:rPr>
                <w:rFonts w:ascii="Verdana" w:hAnsi="Verdana" w:cs="Calibri"/>
                <w:sz w:val="20"/>
                <w:szCs w:val="20"/>
                <w:lang w:val="en-GB"/>
              </w:rPr>
              <w:t xml:space="preserve">Order completion date: </w:t>
            </w:r>
            <w:r w:rsidRPr="00CC323E">
              <w:rPr>
                <w:rFonts w:ascii="Verdana" w:hAnsi="Verdana" w:cs="Calibri"/>
                <w:b/>
                <w:sz w:val="20"/>
                <w:szCs w:val="20"/>
                <w:lang w:val="en-GB"/>
              </w:rPr>
              <w:t>up to 8 months</w:t>
            </w:r>
            <w:r w:rsidRPr="00CC323E">
              <w:rPr>
                <w:rFonts w:ascii="Verdana" w:hAnsi="Verdana" w:cs="Calibri"/>
                <w:sz w:val="20"/>
                <w:szCs w:val="20"/>
                <w:lang w:val="en-GB"/>
              </w:rPr>
              <w:t xml:space="preserve"> from signing the contract.</w:t>
            </w:r>
          </w:p>
        </w:tc>
      </w:tr>
    </w:tbl>
    <w:p w:rsidR="007E27FE" w:rsidRPr="00E85B6A" w:rsidRDefault="007E27FE" w:rsidP="00BD0F16">
      <w:pPr>
        <w:rPr>
          <w:rFonts w:ascii="Verdana" w:hAnsi="Verdana" w:cs="Calibri"/>
          <w:sz w:val="20"/>
          <w:szCs w:val="20"/>
          <w:lang w:val="en-GB"/>
        </w:rPr>
      </w:pPr>
    </w:p>
    <w:tbl>
      <w:tblPr>
        <w:tblW w:w="0" w:type="auto"/>
        <w:tblLook w:val="00A0"/>
      </w:tblPr>
      <w:tblGrid>
        <w:gridCol w:w="4943"/>
        <w:gridCol w:w="4815"/>
      </w:tblGrid>
      <w:tr w:rsidR="007E27FE" w:rsidRPr="001E0363" w:rsidTr="00A01C15">
        <w:trPr>
          <w:trHeight w:val="5668"/>
        </w:trPr>
        <w:tc>
          <w:tcPr>
            <w:tcW w:w="5299" w:type="dxa"/>
          </w:tcPr>
          <w:p w:rsidR="007E27FE" w:rsidRPr="00FC22E3" w:rsidRDefault="007E27FE" w:rsidP="00A01C15">
            <w:pPr>
              <w:spacing w:after="0"/>
              <w:jc w:val="both"/>
              <w:rPr>
                <w:rFonts w:ascii="Verdana" w:hAnsi="Verdana" w:cs="Calibri"/>
                <w:b/>
                <w:sz w:val="20"/>
                <w:szCs w:val="20"/>
              </w:rPr>
            </w:pPr>
            <w:r w:rsidRPr="00FC22E3">
              <w:rPr>
                <w:rFonts w:ascii="Verdana" w:hAnsi="Verdana" w:cs="Calibri"/>
                <w:b/>
                <w:sz w:val="20"/>
                <w:szCs w:val="20"/>
              </w:rPr>
              <w:t>Załącznik nr 1</w:t>
            </w:r>
          </w:p>
          <w:p w:rsidR="007E27FE" w:rsidRPr="00FC22E3" w:rsidRDefault="007E27FE" w:rsidP="00A01C15">
            <w:pPr>
              <w:spacing w:after="120"/>
              <w:jc w:val="both"/>
              <w:rPr>
                <w:rFonts w:ascii="Verdana" w:hAnsi="Verdana" w:cs="Calibri"/>
                <w:bCs/>
                <w:sz w:val="20"/>
                <w:szCs w:val="20"/>
              </w:rPr>
            </w:pPr>
            <w:r w:rsidRPr="00FC22E3">
              <w:rPr>
                <w:rFonts w:ascii="Verdana" w:hAnsi="Verdana" w:cs="Calibri"/>
                <w:sz w:val="20"/>
                <w:szCs w:val="20"/>
              </w:rPr>
              <w:t xml:space="preserve">Wybrane parametry oraz wskazane funkcjonalności jakie powinien spełniać </w:t>
            </w:r>
            <w:r w:rsidRPr="00FC22E3">
              <w:rPr>
                <w:rFonts w:ascii="Verdana" w:hAnsi="Verdana" w:cs="Calibri"/>
                <w:bCs/>
                <w:sz w:val="20"/>
                <w:szCs w:val="20"/>
              </w:rPr>
              <w:t>moduł dwuwiązkowego źródła jonów wraz z oprogramowaniem do sterowania oraz regulacją kontroli dopływu gazu do komory:</w:t>
            </w: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bCs/>
                <w:sz w:val="20"/>
                <w:szCs w:val="20"/>
              </w:rPr>
              <w:t>Dwuwiązkowe źródło jonów:</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rPr>
            </w:pPr>
            <w:r w:rsidRPr="00FC22E3">
              <w:rPr>
                <w:rFonts w:ascii="Verdana" w:hAnsi="Verdana" w:cs="Calibri"/>
                <w:bCs/>
                <w:sz w:val="20"/>
                <w:szCs w:val="20"/>
              </w:rPr>
              <w:t xml:space="preserve">Prąd targetu: 0,05 </w:t>
            </w:r>
            <w:r w:rsidRPr="00FC22E3">
              <w:rPr>
                <w:rFonts w:ascii="Verdana" w:hAnsi="Verdana" w:cs="Calibri"/>
                <w:bCs/>
                <w:sz w:val="20"/>
                <w:szCs w:val="20"/>
                <w:lang w:val="en-GB"/>
              </w:rPr>
              <w:t>÷</w:t>
            </w:r>
            <w:r w:rsidRPr="00FC22E3">
              <w:rPr>
                <w:rFonts w:ascii="Verdana" w:hAnsi="Verdana" w:cs="Calibri"/>
                <w:bCs/>
                <w:sz w:val="20"/>
                <w:szCs w:val="20"/>
              </w:rPr>
              <w:t xml:space="preserve"> 0,5 [A];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rPr>
            </w:pPr>
            <w:r w:rsidRPr="00FC22E3">
              <w:rPr>
                <w:rFonts w:ascii="Verdana" w:hAnsi="Verdana" w:cs="Calibri"/>
                <w:bCs/>
                <w:sz w:val="20"/>
                <w:szCs w:val="20"/>
              </w:rPr>
              <w:t xml:space="preserve">Prąd wyładowania: 0,05 </w:t>
            </w:r>
            <w:r w:rsidRPr="00FC22E3">
              <w:rPr>
                <w:rFonts w:ascii="Verdana" w:hAnsi="Verdana" w:cs="Calibri"/>
                <w:bCs/>
                <w:sz w:val="20"/>
                <w:szCs w:val="20"/>
                <w:lang w:val="en-GB"/>
              </w:rPr>
              <w:t>÷</w:t>
            </w:r>
            <w:r w:rsidRPr="00FC22E3">
              <w:rPr>
                <w:rFonts w:ascii="Verdana" w:hAnsi="Verdana" w:cs="Calibri"/>
                <w:bCs/>
                <w:sz w:val="20"/>
                <w:szCs w:val="20"/>
              </w:rPr>
              <w:t xml:space="preserve"> 0,5 [A];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rPr>
            </w:pPr>
            <w:r w:rsidRPr="00FC22E3">
              <w:rPr>
                <w:rFonts w:ascii="Verdana" w:hAnsi="Verdana" w:cs="Calibri"/>
                <w:bCs/>
                <w:sz w:val="20"/>
                <w:szCs w:val="20"/>
              </w:rPr>
              <w:t xml:space="preserve">Napięcie wyładowania: 2 </w:t>
            </w:r>
            <w:r w:rsidRPr="00FC22E3">
              <w:rPr>
                <w:rFonts w:ascii="Verdana" w:hAnsi="Verdana" w:cs="Calibri"/>
                <w:bCs/>
                <w:sz w:val="20"/>
                <w:szCs w:val="20"/>
                <w:lang w:val="en-GB"/>
              </w:rPr>
              <w:t>÷</w:t>
            </w:r>
            <w:r w:rsidRPr="00FC22E3">
              <w:rPr>
                <w:rFonts w:ascii="Verdana" w:hAnsi="Verdana" w:cs="Calibri"/>
                <w:bCs/>
                <w:sz w:val="20"/>
                <w:szCs w:val="20"/>
              </w:rPr>
              <w:t xml:space="preserve"> 4 [kV];</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rPr>
            </w:pPr>
            <w:r w:rsidRPr="00FC22E3">
              <w:rPr>
                <w:rFonts w:ascii="Verdana" w:hAnsi="Verdana" w:cs="Calibri"/>
                <w:bCs/>
                <w:sz w:val="20"/>
                <w:szCs w:val="20"/>
              </w:rPr>
              <w:t xml:space="preserve">Prąd cewki: 6 </w:t>
            </w:r>
            <w:r w:rsidRPr="00FC22E3">
              <w:rPr>
                <w:rFonts w:ascii="Verdana" w:hAnsi="Verdana" w:cs="Calibri"/>
                <w:bCs/>
                <w:sz w:val="20"/>
                <w:szCs w:val="20"/>
                <w:lang w:val="en-GB"/>
              </w:rPr>
              <w:t>÷</w:t>
            </w:r>
            <w:r w:rsidRPr="00FC22E3">
              <w:rPr>
                <w:rFonts w:ascii="Verdana" w:hAnsi="Verdana" w:cs="Calibri"/>
                <w:bCs/>
                <w:sz w:val="20"/>
                <w:szCs w:val="20"/>
              </w:rPr>
              <w:t xml:space="preserve"> 10 [A];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rPr>
            </w:pPr>
            <w:r w:rsidRPr="00FC22E3">
              <w:rPr>
                <w:rFonts w:ascii="Verdana" w:hAnsi="Verdana" w:cs="Calibri"/>
                <w:bCs/>
                <w:sz w:val="20"/>
                <w:szCs w:val="20"/>
              </w:rPr>
              <w:t>Ciśnienie robocze gazu: 3*10</w:t>
            </w:r>
            <w:r w:rsidRPr="00FC22E3">
              <w:rPr>
                <w:rFonts w:ascii="Verdana" w:hAnsi="Verdana" w:cs="Calibri"/>
                <w:bCs/>
                <w:sz w:val="20"/>
                <w:szCs w:val="20"/>
                <w:vertAlign w:val="superscript"/>
              </w:rPr>
              <w:t>-2</w:t>
            </w:r>
            <w:r w:rsidRPr="00FC22E3">
              <w:rPr>
                <w:rFonts w:ascii="Verdana" w:hAnsi="Verdana" w:cs="Calibri"/>
                <w:bCs/>
                <w:sz w:val="20"/>
                <w:szCs w:val="20"/>
              </w:rPr>
              <w:t xml:space="preserve"> ÷ 7*10</w:t>
            </w:r>
            <w:r w:rsidRPr="00FC22E3">
              <w:rPr>
                <w:rFonts w:ascii="Verdana" w:hAnsi="Verdana" w:cs="Calibri"/>
                <w:bCs/>
                <w:sz w:val="20"/>
                <w:szCs w:val="20"/>
                <w:vertAlign w:val="superscript"/>
              </w:rPr>
              <w:t>-2</w:t>
            </w:r>
            <w:r w:rsidRPr="00FC22E3">
              <w:rPr>
                <w:rFonts w:ascii="Verdana" w:hAnsi="Verdana" w:cs="Calibri"/>
                <w:bCs/>
                <w:sz w:val="20"/>
                <w:szCs w:val="20"/>
              </w:rPr>
              <w:t xml:space="preserve"> [Pa];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rPr>
            </w:pPr>
            <w:r w:rsidRPr="00FC22E3">
              <w:rPr>
                <w:rFonts w:ascii="Verdana" w:hAnsi="Verdana" w:cs="Calibri"/>
                <w:sz w:val="20"/>
                <w:szCs w:val="20"/>
              </w:rPr>
              <w:t>Dwa źródła zasilania dla każdej niezależnej wiązki jonów;</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D21C13">
            <w:pPr>
              <w:pStyle w:val="ListParagraph"/>
              <w:numPr>
                <w:ilvl w:val="0"/>
                <w:numId w:val="28"/>
              </w:numPr>
              <w:spacing w:after="120" w:line="240" w:lineRule="auto"/>
              <w:ind w:left="357" w:hanging="357"/>
              <w:jc w:val="both"/>
              <w:rPr>
                <w:rFonts w:ascii="Verdana" w:hAnsi="Verdana" w:cs="Calibri"/>
                <w:bCs/>
                <w:sz w:val="20"/>
                <w:szCs w:val="20"/>
              </w:rPr>
            </w:pPr>
            <w:r w:rsidRPr="00FC22E3">
              <w:rPr>
                <w:rFonts w:ascii="Verdana" w:hAnsi="Verdana"/>
                <w:sz w:val="20"/>
                <w:szCs w:val="20"/>
              </w:rPr>
              <w:t xml:space="preserve">Źródło zasilania anody: </w:t>
            </w:r>
          </w:p>
          <w:p w:rsidR="007E27FE" w:rsidRPr="00FC22E3" w:rsidRDefault="007E27FE" w:rsidP="00D21C13">
            <w:pPr>
              <w:pStyle w:val="ListParagraph"/>
              <w:numPr>
                <w:ilvl w:val="0"/>
                <w:numId w:val="30"/>
              </w:numPr>
              <w:spacing w:after="120" w:line="240" w:lineRule="auto"/>
              <w:ind w:left="357" w:hanging="357"/>
              <w:jc w:val="both"/>
              <w:rPr>
                <w:rFonts w:ascii="Verdana" w:hAnsi="Verdana"/>
                <w:sz w:val="20"/>
                <w:szCs w:val="20"/>
              </w:rPr>
            </w:pPr>
            <w:r w:rsidRPr="00FC22E3">
              <w:rPr>
                <w:rFonts w:ascii="Verdana" w:hAnsi="Verdana"/>
                <w:sz w:val="20"/>
                <w:szCs w:val="20"/>
              </w:rPr>
              <w:t xml:space="preserve">Napięcie: do 5000 [V]; </w:t>
            </w:r>
          </w:p>
          <w:p w:rsidR="007E27FE" w:rsidRPr="00FC22E3" w:rsidRDefault="007E27FE" w:rsidP="00D21C13">
            <w:pPr>
              <w:pStyle w:val="ListParagraph"/>
              <w:numPr>
                <w:ilvl w:val="0"/>
                <w:numId w:val="30"/>
              </w:numPr>
              <w:spacing w:after="120" w:line="240" w:lineRule="auto"/>
              <w:ind w:left="357" w:hanging="357"/>
              <w:jc w:val="both"/>
              <w:rPr>
                <w:rFonts w:ascii="Verdana" w:hAnsi="Verdana"/>
                <w:sz w:val="20"/>
                <w:szCs w:val="20"/>
              </w:rPr>
            </w:pPr>
            <w:r w:rsidRPr="00FC22E3">
              <w:rPr>
                <w:rFonts w:ascii="Verdana" w:hAnsi="Verdana"/>
                <w:sz w:val="20"/>
                <w:szCs w:val="20"/>
              </w:rPr>
              <w:t xml:space="preserve">Prąd: 0,5 [A]; </w:t>
            </w:r>
          </w:p>
          <w:p w:rsidR="007E27FE" w:rsidRPr="00FC22E3" w:rsidRDefault="007E27FE" w:rsidP="00D21C13">
            <w:pPr>
              <w:pStyle w:val="ListParagraph"/>
              <w:numPr>
                <w:ilvl w:val="0"/>
                <w:numId w:val="30"/>
              </w:numPr>
              <w:spacing w:after="120" w:line="240" w:lineRule="auto"/>
              <w:ind w:left="357" w:hanging="357"/>
              <w:jc w:val="both"/>
              <w:rPr>
                <w:rFonts w:ascii="Verdana" w:hAnsi="Verdana" w:cs="Calibri"/>
                <w:bCs/>
                <w:sz w:val="20"/>
                <w:szCs w:val="20"/>
              </w:rPr>
            </w:pPr>
            <w:r w:rsidRPr="00FC22E3">
              <w:rPr>
                <w:rFonts w:ascii="Verdana" w:hAnsi="Verdana"/>
                <w:sz w:val="20"/>
                <w:szCs w:val="20"/>
              </w:rPr>
              <w:t>Ochrona/zabezpieczenie przed mikro-łukami;</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Zasilanie elektromagnetyczne:</w:t>
            </w:r>
          </w:p>
          <w:p w:rsidR="007E27FE" w:rsidRPr="00FC22E3" w:rsidRDefault="007E27FE" w:rsidP="00A01C15">
            <w:pPr>
              <w:pStyle w:val="ListParagraph"/>
              <w:numPr>
                <w:ilvl w:val="0"/>
                <w:numId w:val="31"/>
              </w:numPr>
              <w:spacing w:after="120" w:line="240" w:lineRule="auto"/>
              <w:jc w:val="both"/>
              <w:rPr>
                <w:rFonts w:ascii="Verdana" w:hAnsi="Verdana" w:cs="Calibri"/>
                <w:bCs/>
                <w:sz w:val="20"/>
                <w:szCs w:val="20"/>
              </w:rPr>
            </w:pPr>
            <w:r w:rsidRPr="00FC22E3">
              <w:rPr>
                <w:rFonts w:ascii="Verdana" w:hAnsi="Verdana" w:cs="Calibri"/>
                <w:sz w:val="20"/>
                <w:szCs w:val="20"/>
              </w:rPr>
              <w:t xml:space="preserve">Napięcie: 30 [V]; </w:t>
            </w:r>
          </w:p>
          <w:p w:rsidR="007E27FE" w:rsidRPr="00FC22E3" w:rsidRDefault="007E27FE" w:rsidP="00A01C15">
            <w:pPr>
              <w:pStyle w:val="ListParagraph"/>
              <w:numPr>
                <w:ilvl w:val="0"/>
                <w:numId w:val="31"/>
              </w:numPr>
              <w:spacing w:after="120" w:line="240" w:lineRule="auto"/>
              <w:jc w:val="both"/>
              <w:rPr>
                <w:rFonts w:ascii="Verdana" w:hAnsi="Verdana" w:cs="Calibri"/>
                <w:bCs/>
                <w:sz w:val="20"/>
                <w:szCs w:val="20"/>
              </w:rPr>
            </w:pPr>
            <w:r w:rsidRPr="00FC22E3">
              <w:rPr>
                <w:rFonts w:ascii="Verdana" w:hAnsi="Verdana" w:cs="Calibri"/>
                <w:sz w:val="20"/>
                <w:szCs w:val="20"/>
              </w:rPr>
              <w:t>Prąd: 10 [A];</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 xml:space="preserve">Próżniomierz o zakresie pomiarowym </w:t>
            </w:r>
            <w:r w:rsidRPr="00FC22E3">
              <w:rPr>
                <w:rFonts w:ascii="Verdana" w:hAnsi="Verdana" w:cs="Calibri"/>
                <w:sz w:val="20"/>
                <w:szCs w:val="20"/>
              </w:rPr>
              <w:br/>
              <w:t>6,3*10</w:t>
            </w:r>
            <w:r w:rsidRPr="00FC22E3">
              <w:rPr>
                <w:rFonts w:ascii="Verdana" w:hAnsi="Verdana" w:cs="Calibri"/>
                <w:sz w:val="20"/>
                <w:szCs w:val="20"/>
                <w:vertAlign w:val="superscript"/>
              </w:rPr>
              <w:t>-3</w:t>
            </w:r>
            <w:r w:rsidRPr="00FC22E3">
              <w:rPr>
                <w:rFonts w:ascii="Verdana" w:hAnsi="Verdana" w:cs="Calibri"/>
                <w:sz w:val="20"/>
                <w:szCs w:val="20"/>
              </w:rPr>
              <w:t xml:space="preserve"> </w:t>
            </w:r>
            <w:r w:rsidRPr="00FC22E3">
              <w:rPr>
                <w:rFonts w:ascii="Verdana" w:hAnsi="Verdana" w:cs="Calibri"/>
                <w:bCs/>
                <w:sz w:val="20"/>
                <w:szCs w:val="20"/>
              </w:rPr>
              <w:t>÷</w:t>
            </w:r>
            <w:r w:rsidRPr="00FC22E3">
              <w:rPr>
                <w:rFonts w:ascii="Verdana" w:hAnsi="Verdana" w:cs="Calibri"/>
                <w:sz w:val="20"/>
                <w:szCs w:val="20"/>
              </w:rPr>
              <w:t xml:space="preserve"> 9*10</w:t>
            </w:r>
            <w:r w:rsidRPr="00FC22E3">
              <w:rPr>
                <w:rFonts w:ascii="Verdana" w:hAnsi="Verdana" w:cs="Calibri"/>
                <w:sz w:val="20"/>
                <w:szCs w:val="20"/>
                <w:vertAlign w:val="superscript"/>
              </w:rPr>
              <w:t xml:space="preserve">4 </w:t>
            </w:r>
            <w:r w:rsidRPr="00FC22E3">
              <w:rPr>
                <w:rFonts w:ascii="Verdana" w:hAnsi="Verdana" w:cs="Calibri"/>
                <w:sz w:val="20"/>
                <w:szCs w:val="20"/>
              </w:rPr>
              <w:t>[Pa];</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Regulatory przepływu masowego gazu:</w:t>
            </w:r>
          </w:p>
          <w:p w:rsidR="007E27FE" w:rsidRPr="00FC22E3" w:rsidRDefault="007E27FE" w:rsidP="00A01C15">
            <w:pPr>
              <w:pStyle w:val="ListParagraph"/>
              <w:numPr>
                <w:ilvl w:val="0"/>
                <w:numId w:val="32"/>
              </w:numPr>
              <w:spacing w:after="120" w:line="240" w:lineRule="auto"/>
              <w:jc w:val="both"/>
              <w:rPr>
                <w:rFonts w:ascii="Verdana" w:hAnsi="Verdana" w:cs="Calibri"/>
                <w:bCs/>
                <w:sz w:val="20"/>
                <w:szCs w:val="20"/>
              </w:rPr>
            </w:pPr>
            <w:r w:rsidRPr="00FC22E3">
              <w:rPr>
                <w:rFonts w:ascii="Verdana" w:hAnsi="Verdana" w:cs="Calibri"/>
                <w:sz w:val="20"/>
                <w:szCs w:val="20"/>
              </w:rPr>
              <w:t>maksymalne natężenie przepływu Q = 0,9 [l/h];</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Szybkość powlekania: 1 [μm/h]</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Średnica katody (rozpylanej tarczy): 80 [mm];</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System dozowania gazu w komorze próżniowej, przynajmniej dla jednego z dwóch rodzajów gazów (Ar, Xe);</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pStyle w:val="ListParagraph"/>
              <w:numPr>
                <w:ilvl w:val="0"/>
                <w:numId w:val="28"/>
              </w:numPr>
              <w:spacing w:after="120" w:line="240" w:lineRule="auto"/>
              <w:jc w:val="both"/>
              <w:rPr>
                <w:rFonts w:ascii="Verdana" w:hAnsi="Verdana" w:cs="Calibri"/>
                <w:bCs/>
                <w:sz w:val="20"/>
                <w:szCs w:val="20"/>
              </w:rPr>
            </w:pPr>
            <w:r w:rsidRPr="00FC22E3">
              <w:rPr>
                <w:rFonts w:ascii="Verdana" w:hAnsi="Verdana" w:cs="Calibri"/>
                <w:sz w:val="20"/>
                <w:szCs w:val="20"/>
              </w:rPr>
              <w:t>Oprogramowanie do sterowania procesem napylania jonowego dostosowane do systemu Windows 7/8/10;</w:t>
            </w:r>
          </w:p>
          <w:p w:rsidR="007E27FE" w:rsidRPr="00FC22E3" w:rsidRDefault="007E27FE" w:rsidP="00A01C15">
            <w:pPr>
              <w:spacing w:after="120" w:line="240" w:lineRule="auto"/>
              <w:jc w:val="both"/>
              <w:rPr>
                <w:rFonts w:ascii="Verdana" w:hAnsi="Verdana" w:cs="Calibri"/>
                <w:bCs/>
                <w:sz w:val="20"/>
                <w:szCs w:val="20"/>
              </w:rPr>
            </w:pPr>
          </w:p>
          <w:p w:rsidR="007E27FE" w:rsidRPr="00FC22E3" w:rsidRDefault="007E27FE" w:rsidP="00A01C15">
            <w:pPr>
              <w:spacing w:after="0"/>
              <w:jc w:val="both"/>
              <w:rPr>
                <w:rFonts w:ascii="Verdana" w:hAnsi="Verdana"/>
                <w:sz w:val="20"/>
                <w:szCs w:val="20"/>
              </w:rPr>
            </w:pPr>
            <w:r w:rsidRPr="00FC22E3">
              <w:rPr>
                <w:rFonts w:ascii="Verdana" w:hAnsi="Verdana" w:cs="Calibri"/>
                <w:bCs/>
                <w:sz w:val="20"/>
                <w:szCs w:val="20"/>
              </w:rPr>
              <w:t xml:space="preserve">Moduł dwuzwiązkowego źródła jonów </w:t>
            </w:r>
            <w:r w:rsidRPr="00FC22E3">
              <w:rPr>
                <w:rFonts w:ascii="Verdana" w:hAnsi="Verdana"/>
                <w:sz w:val="20"/>
                <w:szCs w:val="20"/>
              </w:rPr>
              <w:t xml:space="preserve">przystosowany do </w:t>
            </w:r>
            <w:r w:rsidRPr="00FC22E3">
              <w:rPr>
                <w:rFonts w:ascii="Verdana" w:hAnsi="Verdana" w:cs="Calibri"/>
                <w:bCs/>
                <w:sz w:val="20"/>
                <w:szCs w:val="20"/>
              </w:rPr>
              <w:t xml:space="preserve">urządzenia </w:t>
            </w:r>
            <w:r w:rsidRPr="00FC22E3">
              <w:rPr>
                <w:rFonts w:ascii="Verdana" w:hAnsi="Verdana" w:cs="Calibri"/>
                <w:b/>
                <w:sz w:val="20"/>
                <w:szCs w:val="20"/>
              </w:rPr>
              <w:t>NNV-6.6 I1UHL4</w:t>
            </w:r>
            <w:r w:rsidRPr="00FC22E3">
              <w:rPr>
                <w:rFonts w:ascii="Verdana" w:hAnsi="Verdana" w:cs="Calibri"/>
                <w:bCs/>
                <w:sz w:val="20"/>
                <w:szCs w:val="20"/>
              </w:rPr>
              <w:t>, powinien zapewniać</w:t>
            </w:r>
            <w:r w:rsidRPr="00FC22E3">
              <w:rPr>
                <w:rFonts w:ascii="Verdana" w:hAnsi="Verdana"/>
                <w:sz w:val="20"/>
                <w:szCs w:val="20"/>
              </w:rPr>
              <w:t>: jonowe oczyszczanie podłoży (pierwsza wiązka) oraz nanoszenie powłok kompozytowych (druga wiązka).</w:t>
            </w:r>
          </w:p>
        </w:tc>
        <w:tc>
          <w:tcPr>
            <w:tcW w:w="5299" w:type="dxa"/>
          </w:tcPr>
          <w:p w:rsidR="007E27FE" w:rsidRPr="00FC22E3" w:rsidRDefault="007E27FE" w:rsidP="00A01C15">
            <w:pPr>
              <w:spacing w:after="0"/>
              <w:jc w:val="both"/>
              <w:rPr>
                <w:rFonts w:ascii="Verdana" w:hAnsi="Verdana" w:cs="Calibri"/>
                <w:b/>
                <w:sz w:val="20"/>
                <w:szCs w:val="20"/>
                <w:lang w:val="en-GB"/>
              </w:rPr>
            </w:pPr>
            <w:r w:rsidRPr="00FC22E3">
              <w:rPr>
                <w:rFonts w:ascii="Verdana" w:hAnsi="Verdana" w:cs="Calibri"/>
                <w:b/>
                <w:sz w:val="20"/>
                <w:szCs w:val="20"/>
                <w:lang w:val="en-GB"/>
              </w:rPr>
              <w:t>Appendix 1</w:t>
            </w:r>
          </w:p>
          <w:p w:rsidR="007E27FE" w:rsidRPr="00FC22E3" w:rsidRDefault="007E27FE" w:rsidP="00A01C15">
            <w:pPr>
              <w:spacing w:after="120"/>
              <w:jc w:val="both"/>
              <w:rPr>
                <w:rFonts w:ascii="Verdana" w:hAnsi="Verdana" w:cs="Calibri"/>
                <w:sz w:val="20"/>
                <w:szCs w:val="20"/>
                <w:lang w:val="en-GB"/>
              </w:rPr>
            </w:pPr>
            <w:r w:rsidRPr="00FC22E3">
              <w:rPr>
                <w:rFonts w:ascii="Verdana" w:hAnsi="Verdana" w:cs="Calibri"/>
                <w:sz w:val="20"/>
                <w:szCs w:val="20"/>
                <w:lang w:val="en-GB"/>
              </w:rPr>
              <w:t>Selected parameters and indicated functionalities that should be fulfilled by the dual-beam sputtering ion source module together with software for regulation and control of the chamber gas supply:</w:t>
            </w:r>
          </w:p>
          <w:p w:rsidR="007E27FE" w:rsidRPr="00FC22E3" w:rsidRDefault="007E27FE" w:rsidP="00A01C15">
            <w:pPr>
              <w:pStyle w:val="ListParagraph"/>
              <w:numPr>
                <w:ilvl w:val="0"/>
                <w:numId w:val="33"/>
              </w:numPr>
              <w:spacing w:after="0" w:line="240" w:lineRule="auto"/>
              <w:jc w:val="both"/>
              <w:rPr>
                <w:rFonts w:ascii="Verdana" w:hAnsi="Verdana" w:cs="Calibri"/>
                <w:sz w:val="20"/>
                <w:szCs w:val="20"/>
                <w:lang w:val="en-GB"/>
              </w:rPr>
            </w:pPr>
            <w:r w:rsidRPr="00FC22E3">
              <w:rPr>
                <w:rFonts w:ascii="Verdana" w:hAnsi="Verdana" w:cs="Calibri"/>
                <w:sz w:val="20"/>
                <w:szCs w:val="20"/>
                <w:lang w:val="en-GB"/>
              </w:rPr>
              <w:t>Dual-beam sputtering ion source:</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lang w:val="en-GB"/>
              </w:rPr>
            </w:pPr>
            <w:r w:rsidRPr="00FC22E3">
              <w:rPr>
                <w:rFonts w:ascii="Verdana" w:hAnsi="Verdana" w:cs="Calibri"/>
                <w:bCs/>
                <w:sz w:val="20"/>
                <w:szCs w:val="20"/>
                <w:lang w:val="en-GB"/>
              </w:rPr>
              <w:t>Current of target: 0,05 ÷ 0,5 [A];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lang w:val="en-GB"/>
              </w:rPr>
            </w:pPr>
            <w:r w:rsidRPr="00FC22E3">
              <w:rPr>
                <w:rFonts w:ascii="Verdana" w:hAnsi="Verdana" w:cs="Calibri"/>
                <w:bCs/>
                <w:sz w:val="20"/>
                <w:szCs w:val="20"/>
                <w:lang w:val="en-GB"/>
              </w:rPr>
              <w:t>Current of discharge: 0,05 ÷ 0,5 [A];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lang w:val="en-GB"/>
              </w:rPr>
            </w:pPr>
            <w:r w:rsidRPr="00FC22E3">
              <w:rPr>
                <w:rFonts w:ascii="Verdana" w:hAnsi="Verdana" w:cs="Calibri"/>
                <w:bCs/>
                <w:sz w:val="20"/>
                <w:szCs w:val="20"/>
                <w:lang w:val="en-GB"/>
              </w:rPr>
              <w:t>Voltage of discharge: 2 ÷ 4 [kV];</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lang w:val="en-GB"/>
              </w:rPr>
            </w:pPr>
            <w:r w:rsidRPr="00FC22E3">
              <w:rPr>
                <w:rFonts w:ascii="Verdana" w:hAnsi="Verdana" w:cs="Calibri"/>
                <w:bCs/>
                <w:sz w:val="20"/>
                <w:szCs w:val="20"/>
                <w:lang w:val="en-GB"/>
              </w:rPr>
              <w:t>Current of coil: 6 ÷ 10 [A];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lang w:val="en-GB"/>
              </w:rPr>
            </w:pPr>
            <w:r w:rsidRPr="00FC22E3">
              <w:rPr>
                <w:rFonts w:ascii="Verdana" w:hAnsi="Verdana" w:cs="Calibri"/>
                <w:bCs/>
                <w:sz w:val="20"/>
                <w:szCs w:val="20"/>
                <w:lang w:val="en-GB"/>
              </w:rPr>
              <w:t>Working gas pressure: 3*10</w:t>
            </w:r>
            <w:r w:rsidRPr="00FC22E3">
              <w:rPr>
                <w:rFonts w:ascii="Verdana" w:hAnsi="Verdana" w:cs="Calibri"/>
                <w:bCs/>
                <w:sz w:val="20"/>
                <w:szCs w:val="20"/>
                <w:vertAlign w:val="superscript"/>
                <w:lang w:val="en-GB"/>
              </w:rPr>
              <w:t>-2</w:t>
            </w:r>
            <w:r w:rsidRPr="00FC22E3">
              <w:rPr>
                <w:rFonts w:ascii="Verdana" w:hAnsi="Verdana" w:cs="Calibri"/>
                <w:bCs/>
                <w:sz w:val="20"/>
                <w:szCs w:val="20"/>
                <w:lang w:val="en-GB"/>
              </w:rPr>
              <w:t xml:space="preserve"> ÷ 7*10</w:t>
            </w:r>
            <w:r w:rsidRPr="00FC22E3">
              <w:rPr>
                <w:rFonts w:ascii="Verdana" w:hAnsi="Verdana" w:cs="Calibri"/>
                <w:bCs/>
                <w:sz w:val="20"/>
                <w:szCs w:val="20"/>
                <w:vertAlign w:val="superscript"/>
                <w:lang w:val="en-GB"/>
              </w:rPr>
              <w:t>-2</w:t>
            </w:r>
            <w:r w:rsidRPr="00FC22E3">
              <w:rPr>
                <w:rFonts w:ascii="Verdana" w:hAnsi="Verdana" w:cs="Calibri"/>
                <w:bCs/>
                <w:sz w:val="20"/>
                <w:szCs w:val="20"/>
                <w:lang w:val="en-GB"/>
              </w:rPr>
              <w:t xml:space="preserve"> [Pa];</w:t>
            </w:r>
          </w:p>
          <w:p w:rsidR="007E27FE" w:rsidRPr="00FC22E3" w:rsidRDefault="007E27FE" w:rsidP="00A01C15">
            <w:pPr>
              <w:pStyle w:val="ListParagraph"/>
              <w:numPr>
                <w:ilvl w:val="0"/>
                <w:numId w:val="29"/>
              </w:numPr>
              <w:spacing w:after="120" w:line="240" w:lineRule="auto"/>
              <w:jc w:val="both"/>
              <w:rPr>
                <w:rFonts w:ascii="Verdana" w:hAnsi="Verdana" w:cs="Calibri"/>
                <w:bCs/>
                <w:sz w:val="20"/>
                <w:szCs w:val="20"/>
                <w:lang w:val="en-GB"/>
              </w:rPr>
            </w:pPr>
            <w:r w:rsidRPr="00FC22E3">
              <w:rPr>
                <w:rFonts w:ascii="Verdana" w:hAnsi="Verdana" w:cs="Calibri"/>
                <w:sz w:val="20"/>
                <w:szCs w:val="20"/>
                <w:lang w:val="en-GB"/>
              </w:rPr>
              <w:t>Two power sources for each independent ion beam;</w:t>
            </w:r>
          </w:p>
          <w:p w:rsidR="007E27FE" w:rsidRPr="00FC22E3" w:rsidRDefault="007E27FE" w:rsidP="00A01C15">
            <w:pPr>
              <w:spacing w:after="120" w:line="240" w:lineRule="auto"/>
              <w:jc w:val="both"/>
              <w:rPr>
                <w:rFonts w:ascii="Verdana" w:hAnsi="Verdana" w:cs="Calibri"/>
                <w:bCs/>
                <w:sz w:val="20"/>
                <w:szCs w:val="20"/>
                <w:lang w:val="en-GB"/>
              </w:rPr>
            </w:pPr>
          </w:p>
          <w:p w:rsidR="007E27FE" w:rsidRPr="00FC22E3" w:rsidRDefault="007E27FE" w:rsidP="00D21C13">
            <w:pPr>
              <w:pStyle w:val="ListParagraph"/>
              <w:numPr>
                <w:ilvl w:val="0"/>
                <w:numId w:val="33"/>
              </w:numPr>
              <w:spacing w:after="120" w:line="240" w:lineRule="auto"/>
              <w:ind w:left="357" w:hanging="357"/>
              <w:jc w:val="both"/>
              <w:rPr>
                <w:rFonts w:ascii="Verdana" w:hAnsi="Verdana" w:cs="Calibri"/>
                <w:sz w:val="20"/>
                <w:szCs w:val="20"/>
                <w:lang w:val="en-GB"/>
              </w:rPr>
            </w:pPr>
            <w:r w:rsidRPr="00FC22E3">
              <w:rPr>
                <w:rFonts w:ascii="Verdana" w:hAnsi="Verdana" w:cs="Calibri"/>
                <w:sz w:val="20"/>
                <w:szCs w:val="20"/>
                <w:lang w:val="en-GB"/>
              </w:rPr>
              <w:t>Anode power source:</w:t>
            </w:r>
          </w:p>
          <w:p w:rsidR="007E27FE" w:rsidRPr="00FC22E3" w:rsidRDefault="007E27FE" w:rsidP="00D21C13">
            <w:pPr>
              <w:pStyle w:val="ListParagraph"/>
              <w:numPr>
                <w:ilvl w:val="0"/>
                <w:numId w:val="30"/>
              </w:numPr>
              <w:spacing w:after="120" w:line="240" w:lineRule="auto"/>
              <w:ind w:left="357" w:hanging="357"/>
              <w:jc w:val="both"/>
              <w:rPr>
                <w:rFonts w:ascii="Verdana" w:hAnsi="Verdana"/>
                <w:sz w:val="20"/>
                <w:szCs w:val="20"/>
                <w:lang w:val="en-GB"/>
              </w:rPr>
            </w:pPr>
            <w:r w:rsidRPr="00FC22E3">
              <w:rPr>
                <w:rFonts w:ascii="Verdana" w:hAnsi="Verdana" w:cs="Calibri"/>
                <w:bCs/>
                <w:sz w:val="20"/>
                <w:szCs w:val="20"/>
                <w:lang w:val="en-GB"/>
              </w:rPr>
              <w:t>Voltage</w:t>
            </w:r>
            <w:r w:rsidRPr="00FC22E3">
              <w:rPr>
                <w:rFonts w:ascii="Verdana" w:hAnsi="Verdana"/>
                <w:sz w:val="20"/>
                <w:szCs w:val="20"/>
                <w:lang w:val="en-GB"/>
              </w:rPr>
              <w:t xml:space="preserve">: up to 5000 [V]; </w:t>
            </w:r>
          </w:p>
          <w:p w:rsidR="007E27FE" w:rsidRPr="00FC22E3" w:rsidRDefault="007E27FE" w:rsidP="00D21C13">
            <w:pPr>
              <w:pStyle w:val="ListParagraph"/>
              <w:numPr>
                <w:ilvl w:val="0"/>
                <w:numId w:val="30"/>
              </w:numPr>
              <w:spacing w:after="120" w:line="240" w:lineRule="auto"/>
              <w:ind w:left="357" w:hanging="357"/>
              <w:jc w:val="both"/>
              <w:rPr>
                <w:rFonts w:ascii="Verdana" w:hAnsi="Verdana"/>
                <w:sz w:val="20"/>
                <w:szCs w:val="20"/>
                <w:lang w:val="en-GB"/>
              </w:rPr>
            </w:pPr>
            <w:r w:rsidRPr="00FC22E3">
              <w:rPr>
                <w:rFonts w:ascii="Verdana" w:hAnsi="Verdana" w:cs="Calibri"/>
                <w:bCs/>
                <w:sz w:val="20"/>
                <w:szCs w:val="20"/>
                <w:lang w:val="en-GB"/>
              </w:rPr>
              <w:t>Current</w:t>
            </w:r>
            <w:r w:rsidRPr="00FC22E3">
              <w:rPr>
                <w:rFonts w:ascii="Verdana" w:hAnsi="Verdana"/>
                <w:sz w:val="20"/>
                <w:szCs w:val="20"/>
                <w:lang w:val="en-GB"/>
              </w:rPr>
              <w:t xml:space="preserve">: 0,5 [A]; </w:t>
            </w:r>
          </w:p>
          <w:p w:rsidR="007E27FE" w:rsidRPr="00FC22E3" w:rsidRDefault="007E27FE" w:rsidP="00D21C13">
            <w:pPr>
              <w:pStyle w:val="ListParagraph"/>
              <w:numPr>
                <w:ilvl w:val="0"/>
                <w:numId w:val="30"/>
              </w:numPr>
              <w:spacing w:after="120" w:line="240" w:lineRule="auto"/>
              <w:ind w:left="357" w:hanging="357"/>
              <w:jc w:val="both"/>
              <w:rPr>
                <w:rFonts w:ascii="Verdana" w:hAnsi="Verdana" w:cs="Calibri"/>
                <w:sz w:val="20"/>
                <w:szCs w:val="20"/>
                <w:lang w:val="en-GB"/>
              </w:rPr>
            </w:pPr>
            <w:r w:rsidRPr="00FC22E3">
              <w:rPr>
                <w:rFonts w:ascii="Verdana" w:hAnsi="Verdana"/>
                <w:sz w:val="20"/>
                <w:szCs w:val="20"/>
                <w:lang w:val="en-GB"/>
              </w:rPr>
              <w:t>Protection against micro-arcs;</w:t>
            </w:r>
          </w:p>
          <w:p w:rsidR="007E27FE" w:rsidRPr="00FC22E3" w:rsidRDefault="007E27FE" w:rsidP="00A01C15">
            <w:pPr>
              <w:spacing w:after="120" w:line="240" w:lineRule="auto"/>
              <w:jc w:val="both"/>
              <w:rPr>
                <w:rFonts w:ascii="Verdana" w:hAnsi="Verdana" w:cs="Calibri"/>
                <w:sz w:val="20"/>
                <w:szCs w:val="20"/>
                <w:lang w:val="en-GB"/>
              </w:rPr>
            </w:pPr>
          </w:p>
          <w:p w:rsidR="007E27FE" w:rsidRPr="00FC22E3" w:rsidRDefault="007E27FE" w:rsidP="00D21C13">
            <w:pPr>
              <w:pStyle w:val="ListParagraph"/>
              <w:numPr>
                <w:ilvl w:val="0"/>
                <w:numId w:val="33"/>
              </w:numPr>
              <w:spacing w:after="120" w:line="240" w:lineRule="auto"/>
              <w:ind w:left="357" w:hanging="357"/>
              <w:jc w:val="both"/>
              <w:rPr>
                <w:rFonts w:ascii="Verdana" w:hAnsi="Verdana" w:cs="Calibri"/>
                <w:sz w:val="20"/>
                <w:szCs w:val="20"/>
                <w:lang w:val="en-GB"/>
              </w:rPr>
            </w:pPr>
            <w:r w:rsidRPr="00FC22E3">
              <w:rPr>
                <w:rFonts w:ascii="Verdana" w:hAnsi="Verdana" w:cs="Calibri"/>
                <w:sz w:val="20"/>
                <w:szCs w:val="20"/>
                <w:lang w:val="en-GB"/>
              </w:rPr>
              <w:t>Electromagnetic supply:</w:t>
            </w:r>
          </w:p>
          <w:p w:rsidR="007E27FE" w:rsidRPr="00FC22E3" w:rsidRDefault="007E27FE" w:rsidP="00D21C13">
            <w:pPr>
              <w:pStyle w:val="ListParagraph"/>
              <w:numPr>
                <w:ilvl w:val="0"/>
                <w:numId w:val="30"/>
              </w:numPr>
              <w:spacing w:after="120" w:line="240" w:lineRule="auto"/>
              <w:ind w:left="357" w:hanging="357"/>
              <w:jc w:val="both"/>
              <w:rPr>
                <w:rFonts w:ascii="Verdana" w:hAnsi="Verdana"/>
                <w:sz w:val="20"/>
                <w:szCs w:val="20"/>
                <w:lang w:val="en-GB"/>
              </w:rPr>
            </w:pPr>
            <w:r w:rsidRPr="00FC22E3">
              <w:rPr>
                <w:rFonts w:ascii="Verdana" w:hAnsi="Verdana" w:cs="Calibri"/>
                <w:bCs/>
                <w:sz w:val="20"/>
                <w:szCs w:val="20"/>
                <w:lang w:val="en-GB"/>
              </w:rPr>
              <w:t>Voltage</w:t>
            </w:r>
            <w:r w:rsidRPr="00FC22E3">
              <w:rPr>
                <w:rFonts w:ascii="Verdana" w:hAnsi="Verdana"/>
                <w:sz w:val="20"/>
                <w:szCs w:val="20"/>
                <w:lang w:val="en-GB"/>
              </w:rPr>
              <w:t xml:space="preserve">: </w:t>
            </w:r>
            <w:r w:rsidRPr="00FC22E3">
              <w:rPr>
                <w:rFonts w:ascii="Verdana" w:hAnsi="Verdana" w:cs="Calibri"/>
                <w:sz w:val="20"/>
                <w:szCs w:val="20"/>
                <w:lang w:val="en-GB"/>
              </w:rPr>
              <w:t>30 [V];</w:t>
            </w:r>
          </w:p>
          <w:p w:rsidR="007E27FE" w:rsidRPr="00FC22E3" w:rsidRDefault="007E27FE" w:rsidP="00D21C13">
            <w:pPr>
              <w:pStyle w:val="ListParagraph"/>
              <w:numPr>
                <w:ilvl w:val="0"/>
                <w:numId w:val="30"/>
              </w:numPr>
              <w:spacing w:after="120" w:line="240" w:lineRule="auto"/>
              <w:ind w:left="357" w:hanging="357"/>
              <w:jc w:val="both"/>
              <w:rPr>
                <w:rFonts w:ascii="Verdana" w:hAnsi="Verdana"/>
                <w:sz w:val="20"/>
                <w:szCs w:val="20"/>
                <w:lang w:val="en-GB"/>
              </w:rPr>
            </w:pPr>
            <w:r w:rsidRPr="00FC22E3">
              <w:rPr>
                <w:rFonts w:ascii="Verdana" w:hAnsi="Verdana" w:cs="Calibri"/>
                <w:bCs/>
                <w:sz w:val="20"/>
                <w:szCs w:val="20"/>
                <w:lang w:val="en-GB"/>
              </w:rPr>
              <w:t>Current</w:t>
            </w:r>
            <w:r w:rsidRPr="00FC22E3">
              <w:rPr>
                <w:rFonts w:ascii="Verdana" w:hAnsi="Verdana"/>
                <w:sz w:val="20"/>
                <w:szCs w:val="20"/>
                <w:lang w:val="en-GB"/>
              </w:rPr>
              <w:t xml:space="preserve">: </w:t>
            </w:r>
            <w:r w:rsidRPr="00FC22E3">
              <w:rPr>
                <w:rFonts w:ascii="Verdana" w:hAnsi="Verdana" w:cs="Calibri"/>
                <w:sz w:val="20"/>
                <w:szCs w:val="20"/>
                <w:lang w:val="en-GB"/>
              </w:rPr>
              <w:t>10 [A];</w:t>
            </w:r>
          </w:p>
          <w:p w:rsidR="007E27FE" w:rsidRPr="00FC22E3" w:rsidRDefault="007E27FE" w:rsidP="00A01C15">
            <w:pPr>
              <w:spacing w:after="120" w:line="240" w:lineRule="auto"/>
              <w:jc w:val="both"/>
              <w:rPr>
                <w:rFonts w:ascii="Verdana" w:hAnsi="Verdana"/>
                <w:sz w:val="20"/>
                <w:szCs w:val="20"/>
                <w:lang w:val="en-GB" w:eastAsia="pl-PL"/>
              </w:rPr>
            </w:pPr>
          </w:p>
          <w:p w:rsidR="007E27FE" w:rsidRPr="00FC22E3" w:rsidRDefault="007E27FE" w:rsidP="00D21C13">
            <w:pPr>
              <w:pStyle w:val="ListParagraph"/>
              <w:numPr>
                <w:ilvl w:val="0"/>
                <w:numId w:val="33"/>
              </w:numPr>
              <w:spacing w:after="120" w:line="240" w:lineRule="auto"/>
              <w:ind w:left="357" w:hanging="357"/>
              <w:jc w:val="both"/>
              <w:rPr>
                <w:rFonts w:ascii="Verdana" w:hAnsi="Verdana" w:cs="Calibri"/>
                <w:sz w:val="20"/>
                <w:szCs w:val="20"/>
                <w:lang w:val="en-GB"/>
              </w:rPr>
            </w:pPr>
            <w:r w:rsidRPr="00FC22E3">
              <w:rPr>
                <w:rFonts w:ascii="Verdana" w:hAnsi="Verdana" w:cs="Calibri"/>
                <w:sz w:val="20"/>
                <w:szCs w:val="20"/>
                <w:lang w:val="en-GB"/>
              </w:rPr>
              <w:t>A vacuum gauge with a measuring range of 6,3*10</w:t>
            </w:r>
            <w:r w:rsidRPr="00FC22E3">
              <w:rPr>
                <w:rFonts w:ascii="Verdana" w:hAnsi="Verdana" w:cs="Calibri"/>
                <w:sz w:val="20"/>
                <w:szCs w:val="20"/>
                <w:vertAlign w:val="superscript"/>
                <w:lang w:val="en-GB"/>
              </w:rPr>
              <w:t>-3</w:t>
            </w:r>
            <w:r w:rsidRPr="00FC22E3">
              <w:rPr>
                <w:rFonts w:ascii="Verdana" w:hAnsi="Verdana" w:cs="Calibri"/>
                <w:sz w:val="20"/>
                <w:szCs w:val="20"/>
                <w:lang w:val="en-GB"/>
              </w:rPr>
              <w:t xml:space="preserve"> </w:t>
            </w:r>
            <w:r w:rsidRPr="00FC22E3">
              <w:rPr>
                <w:rFonts w:ascii="Verdana" w:hAnsi="Verdana" w:cs="Calibri"/>
                <w:bCs/>
                <w:sz w:val="20"/>
                <w:szCs w:val="20"/>
                <w:lang w:val="en-GB"/>
              </w:rPr>
              <w:t>÷</w:t>
            </w:r>
            <w:r w:rsidRPr="00FC22E3">
              <w:rPr>
                <w:rFonts w:ascii="Verdana" w:hAnsi="Verdana" w:cs="Calibri"/>
                <w:sz w:val="20"/>
                <w:szCs w:val="20"/>
                <w:lang w:val="en-GB"/>
              </w:rPr>
              <w:t xml:space="preserve"> 9*10</w:t>
            </w:r>
            <w:r w:rsidRPr="00FC22E3">
              <w:rPr>
                <w:rFonts w:ascii="Verdana" w:hAnsi="Verdana" w:cs="Calibri"/>
                <w:sz w:val="20"/>
                <w:szCs w:val="20"/>
                <w:vertAlign w:val="superscript"/>
                <w:lang w:val="en-GB"/>
              </w:rPr>
              <w:t xml:space="preserve">4 </w:t>
            </w:r>
            <w:r w:rsidRPr="00FC22E3">
              <w:rPr>
                <w:rFonts w:ascii="Verdana" w:hAnsi="Verdana" w:cs="Calibri"/>
                <w:sz w:val="20"/>
                <w:szCs w:val="20"/>
                <w:lang w:val="en-GB"/>
              </w:rPr>
              <w:t>[Pa];</w:t>
            </w:r>
          </w:p>
          <w:p w:rsidR="007E27FE" w:rsidRPr="00FC22E3" w:rsidRDefault="007E27FE" w:rsidP="00A01C15">
            <w:pPr>
              <w:spacing w:after="120" w:line="240" w:lineRule="auto"/>
              <w:jc w:val="both"/>
              <w:rPr>
                <w:rFonts w:ascii="Verdana" w:hAnsi="Verdana" w:cs="Calibri"/>
                <w:sz w:val="20"/>
                <w:szCs w:val="20"/>
                <w:lang w:val="en-GB"/>
              </w:rPr>
            </w:pPr>
          </w:p>
          <w:p w:rsidR="007E27FE" w:rsidRPr="00FC22E3" w:rsidRDefault="007E27FE" w:rsidP="00D21C13">
            <w:pPr>
              <w:pStyle w:val="ListParagraph"/>
              <w:numPr>
                <w:ilvl w:val="0"/>
                <w:numId w:val="33"/>
              </w:numPr>
              <w:spacing w:after="120" w:line="240" w:lineRule="auto"/>
              <w:ind w:left="357" w:hanging="357"/>
              <w:jc w:val="both"/>
              <w:rPr>
                <w:rFonts w:ascii="Verdana" w:hAnsi="Verdana" w:cs="Calibri"/>
                <w:sz w:val="20"/>
                <w:szCs w:val="20"/>
                <w:lang w:val="en-GB"/>
              </w:rPr>
            </w:pPr>
            <w:r w:rsidRPr="00FC22E3">
              <w:rPr>
                <w:rFonts w:ascii="Verdana" w:hAnsi="Verdana" w:cs="Calibri"/>
                <w:sz w:val="20"/>
                <w:szCs w:val="20"/>
                <w:lang w:val="en-GB"/>
              </w:rPr>
              <w:t>Gas mass flow regulators:</w:t>
            </w:r>
          </w:p>
          <w:p w:rsidR="007E27FE" w:rsidRPr="00FC22E3" w:rsidRDefault="007E27FE" w:rsidP="00D21C13">
            <w:pPr>
              <w:pStyle w:val="ListParagraph"/>
              <w:numPr>
                <w:ilvl w:val="0"/>
                <w:numId w:val="34"/>
              </w:numPr>
              <w:spacing w:after="120" w:line="240" w:lineRule="auto"/>
              <w:ind w:left="357" w:hanging="357"/>
              <w:jc w:val="both"/>
              <w:rPr>
                <w:rFonts w:ascii="Verdana" w:hAnsi="Verdana" w:cs="Calibri"/>
                <w:sz w:val="20"/>
                <w:szCs w:val="20"/>
                <w:lang w:val="en-GB"/>
              </w:rPr>
            </w:pPr>
            <w:r w:rsidRPr="00FC22E3">
              <w:rPr>
                <w:rFonts w:ascii="Verdana" w:hAnsi="Verdana" w:cs="Calibri"/>
                <w:sz w:val="20"/>
                <w:szCs w:val="20"/>
                <w:lang w:val="en-GB"/>
              </w:rPr>
              <w:t>maximum flow rate Q = 0,9 [l/h];</w:t>
            </w:r>
          </w:p>
          <w:p w:rsidR="007E27FE" w:rsidRPr="00FC22E3" w:rsidRDefault="007E27FE" w:rsidP="00A01C15">
            <w:pPr>
              <w:spacing w:after="120" w:line="480" w:lineRule="auto"/>
              <w:jc w:val="both"/>
              <w:rPr>
                <w:rFonts w:ascii="Verdana" w:hAnsi="Verdana" w:cs="Calibri"/>
                <w:sz w:val="20"/>
                <w:szCs w:val="20"/>
                <w:lang w:val="en-GB"/>
              </w:rPr>
            </w:pPr>
          </w:p>
          <w:p w:rsidR="007E27FE" w:rsidRPr="00FC22E3" w:rsidRDefault="007E27FE" w:rsidP="00D21C13">
            <w:pPr>
              <w:pStyle w:val="ListParagraph"/>
              <w:numPr>
                <w:ilvl w:val="0"/>
                <w:numId w:val="33"/>
              </w:numPr>
              <w:spacing w:after="120" w:line="240" w:lineRule="auto"/>
              <w:ind w:left="357" w:hanging="357"/>
              <w:jc w:val="both"/>
              <w:rPr>
                <w:rFonts w:ascii="Verdana" w:hAnsi="Verdana" w:cs="Calibri"/>
                <w:sz w:val="20"/>
                <w:szCs w:val="20"/>
                <w:lang w:val="en-GB"/>
              </w:rPr>
            </w:pPr>
            <w:r w:rsidRPr="00FC22E3">
              <w:rPr>
                <w:rFonts w:ascii="Verdana" w:hAnsi="Verdana" w:cs="Calibri"/>
                <w:sz w:val="20"/>
                <w:szCs w:val="20"/>
                <w:lang w:val="en-GB"/>
              </w:rPr>
              <w:t xml:space="preserve">Coating rate: 0,5 </w:t>
            </w:r>
            <w:r w:rsidRPr="00FC22E3">
              <w:rPr>
                <w:rFonts w:ascii="Verdana" w:hAnsi="Verdana" w:cs="Calibri"/>
                <w:bCs/>
                <w:sz w:val="20"/>
                <w:szCs w:val="20"/>
                <w:lang w:val="en-GB"/>
              </w:rPr>
              <w:t xml:space="preserve">÷ </w:t>
            </w:r>
            <w:r w:rsidRPr="00FC22E3">
              <w:rPr>
                <w:rFonts w:ascii="Verdana" w:hAnsi="Verdana" w:cs="Calibri"/>
                <w:sz w:val="20"/>
                <w:szCs w:val="20"/>
                <w:lang w:val="en-GB"/>
              </w:rPr>
              <w:t>1 [μm/h];</w:t>
            </w:r>
          </w:p>
          <w:p w:rsidR="007E27FE" w:rsidRPr="00FC22E3" w:rsidRDefault="007E27FE" w:rsidP="00A01C15">
            <w:pPr>
              <w:spacing w:after="120" w:line="240" w:lineRule="auto"/>
              <w:jc w:val="both"/>
              <w:rPr>
                <w:rFonts w:ascii="Verdana" w:hAnsi="Verdana" w:cs="Calibri"/>
                <w:bCs/>
                <w:sz w:val="20"/>
                <w:szCs w:val="20"/>
                <w:lang w:val="en-GB"/>
              </w:rPr>
            </w:pPr>
          </w:p>
          <w:p w:rsidR="007E27FE" w:rsidRPr="00FC22E3" w:rsidRDefault="007E27FE" w:rsidP="00D21C13">
            <w:pPr>
              <w:pStyle w:val="ListParagraph"/>
              <w:numPr>
                <w:ilvl w:val="0"/>
                <w:numId w:val="33"/>
              </w:numPr>
              <w:spacing w:after="120" w:line="240" w:lineRule="auto"/>
              <w:ind w:left="351" w:hanging="357"/>
              <w:jc w:val="both"/>
              <w:rPr>
                <w:rFonts w:ascii="Verdana" w:hAnsi="Verdana" w:cs="Calibri"/>
                <w:sz w:val="20"/>
                <w:szCs w:val="20"/>
                <w:lang w:val="en-GB"/>
              </w:rPr>
            </w:pPr>
            <w:r w:rsidRPr="00FC22E3">
              <w:rPr>
                <w:rFonts w:ascii="Verdana" w:hAnsi="Verdana" w:cs="Calibri"/>
                <w:sz w:val="20"/>
                <w:szCs w:val="20"/>
                <w:lang w:val="en-GB"/>
              </w:rPr>
              <w:t>Diameter of the target (sputtering target): 80 [mm];</w:t>
            </w:r>
          </w:p>
          <w:p w:rsidR="007E27FE" w:rsidRPr="00FC22E3" w:rsidRDefault="007E27FE" w:rsidP="00A01C15">
            <w:pPr>
              <w:pStyle w:val="ListParagraph"/>
              <w:spacing w:after="120" w:line="240" w:lineRule="auto"/>
              <w:ind w:left="357"/>
              <w:jc w:val="both"/>
              <w:rPr>
                <w:rFonts w:ascii="Verdana" w:hAnsi="Verdana" w:cs="Calibri"/>
                <w:sz w:val="20"/>
                <w:szCs w:val="20"/>
                <w:lang w:val="en-GB"/>
              </w:rPr>
            </w:pPr>
          </w:p>
          <w:p w:rsidR="007E27FE" w:rsidRPr="00FC22E3" w:rsidRDefault="007E27FE" w:rsidP="00A01C15">
            <w:pPr>
              <w:pStyle w:val="ListParagraph"/>
              <w:spacing w:after="120" w:line="240" w:lineRule="auto"/>
              <w:ind w:left="357"/>
              <w:jc w:val="both"/>
              <w:rPr>
                <w:rFonts w:ascii="Verdana" w:hAnsi="Verdana" w:cs="Calibri"/>
                <w:sz w:val="20"/>
                <w:szCs w:val="20"/>
                <w:lang w:val="en-GB"/>
              </w:rPr>
            </w:pPr>
          </w:p>
          <w:p w:rsidR="007E27FE" w:rsidRPr="00FC22E3" w:rsidRDefault="007E27FE" w:rsidP="00D21C13">
            <w:pPr>
              <w:pStyle w:val="ListParagraph"/>
              <w:numPr>
                <w:ilvl w:val="0"/>
                <w:numId w:val="33"/>
              </w:numPr>
              <w:spacing w:after="120" w:line="240" w:lineRule="auto"/>
              <w:ind w:left="357"/>
              <w:jc w:val="both"/>
              <w:rPr>
                <w:rFonts w:ascii="Verdana" w:hAnsi="Verdana" w:cs="Calibri"/>
                <w:sz w:val="20"/>
                <w:szCs w:val="20"/>
                <w:lang w:val="en-GB"/>
              </w:rPr>
            </w:pPr>
            <w:r w:rsidRPr="00FC22E3">
              <w:rPr>
                <w:rFonts w:ascii="Verdana" w:hAnsi="Verdana" w:cs="Calibri"/>
                <w:sz w:val="20"/>
                <w:szCs w:val="20"/>
                <w:lang w:val="en-GB"/>
              </w:rPr>
              <w:t>Gas dosing system in a vacuum chamber for at least one of the two types of gases (Ar, Xe);</w:t>
            </w:r>
          </w:p>
          <w:p w:rsidR="007E27FE" w:rsidRPr="00FC22E3" w:rsidRDefault="007E27FE" w:rsidP="00A01C15">
            <w:pPr>
              <w:spacing w:after="120" w:line="240" w:lineRule="auto"/>
              <w:ind w:left="-3"/>
              <w:jc w:val="both"/>
              <w:rPr>
                <w:rFonts w:ascii="Verdana" w:hAnsi="Verdana" w:cs="Calibri"/>
                <w:sz w:val="20"/>
                <w:szCs w:val="20"/>
                <w:lang w:val="en-GB"/>
              </w:rPr>
            </w:pPr>
          </w:p>
          <w:p w:rsidR="007E27FE" w:rsidRPr="00FC22E3" w:rsidRDefault="007E27FE" w:rsidP="00A01C15">
            <w:pPr>
              <w:pStyle w:val="ListParagraph"/>
              <w:numPr>
                <w:ilvl w:val="0"/>
                <w:numId w:val="33"/>
              </w:numPr>
              <w:spacing w:after="0" w:line="240" w:lineRule="auto"/>
              <w:jc w:val="both"/>
              <w:rPr>
                <w:rFonts w:ascii="Verdana" w:hAnsi="Verdana" w:cs="Calibri"/>
                <w:sz w:val="20"/>
                <w:szCs w:val="20"/>
                <w:lang w:val="en-GB"/>
              </w:rPr>
            </w:pPr>
            <w:r w:rsidRPr="00FC22E3">
              <w:rPr>
                <w:rFonts w:ascii="Verdana" w:hAnsi="Verdana" w:cs="Calibri"/>
                <w:sz w:val="20"/>
                <w:szCs w:val="20"/>
                <w:lang w:val="en-GB"/>
              </w:rPr>
              <w:t>Software for control of sputtering process adapted for Windows 7/8/10;</w:t>
            </w:r>
          </w:p>
          <w:p w:rsidR="007E27FE" w:rsidRPr="00FC22E3" w:rsidRDefault="007E27FE" w:rsidP="00A01C15">
            <w:pPr>
              <w:spacing w:after="0" w:line="240" w:lineRule="auto"/>
              <w:jc w:val="both"/>
              <w:rPr>
                <w:rFonts w:ascii="Verdana" w:hAnsi="Verdana" w:cs="Calibri"/>
                <w:sz w:val="20"/>
                <w:szCs w:val="20"/>
                <w:lang w:val="en-GB"/>
              </w:rPr>
            </w:pPr>
          </w:p>
          <w:p w:rsidR="007E27FE" w:rsidRPr="00FC22E3" w:rsidRDefault="007E27FE" w:rsidP="00A01C15">
            <w:pPr>
              <w:spacing w:after="0" w:line="240" w:lineRule="auto"/>
              <w:jc w:val="both"/>
              <w:rPr>
                <w:rFonts w:ascii="Verdana" w:hAnsi="Verdana" w:cs="Calibri"/>
                <w:sz w:val="20"/>
                <w:szCs w:val="20"/>
                <w:lang w:val="en-GB"/>
              </w:rPr>
            </w:pPr>
          </w:p>
          <w:p w:rsidR="007E27FE" w:rsidRPr="00FC22E3" w:rsidRDefault="007E27FE" w:rsidP="00A01C15">
            <w:pPr>
              <w:spacing w:after="0" w:line="240" w:lineRule="auto"/>
              <w:jc w:val="both"/>
              <w:rPr>
                <w:rFonts w:ascii="Verdana" w:hAnsi="Verdana" w:cs="Calibri"/>
                <w:sz w:val="20"/>
                <w:szCs w:val="20"/>
                <w:lang w:val="en-GB"/>
              </w:rPr>
            </w:pPr>
          </w:p>
          <w:p w:rsidR="007E27FE" w:rsidRPr="00FC22E3" w:rsidRDefault="007E27FE" w:rsidP="00A01C15">
            <w:pPr>
              <w:spacing w:after="0" w:line="240" w:lineRule="auto"/>
              <w:jc w:val="both"/>
              <w:rPr>
                <w:rFonts w:ascii="Verdana" w:hAnsi="Verdana" w:cs="Calibri"/>
                <w:sz w:val="20"/>
                <w:szCs w:val="20"/>
                <w:lang w:val="en-GB"/>
              </w:rPr>
            </w:pPr>
            <w:r w:rsidRPr="00FC22E3">
              <w:rPr>
                <w:rFonts w:ascii="Verdana" w:hAnsi="Verdana" w:cs="Calibri"/>
                <w:sz w:val="20"/>
                <w:szCs w:val="20"/>
                <w:lang w:val="en-GB"/>
              </w:rPr>
              <w:t xml:space="preserve">The dual-beam sputtering ion source module adapted to the </w:t>
            </w:r>
            <w:r w:rsidRPr="00FC22E3">
              <w:rPr>
                <w:rFonts w:ascii="Verdana" w:hAnsi="Verdana" w:cs="Calibri"/>
                <w:b/>
                <w:sz w:val="20"/>
                <w:szCs w:val="20"/>
                <w:lang w:val="en-GB"/>
              </w:rPr>
              <w:t xml:space="preserve">NNV-6.6 I1UHL4 </w:t>
            </w:r>
            <w:r w:rsidRPr="00FC22E3">
              <w:rPr>
                <w:rFonts w:ascii="Verdana" w:hAnsi="Verdana" w:cs="Calibri"/>
                <w:sz w:val="20"/>
                <w:szCs w:val="20"/>
                <w:lang w:val="en-GB"/>
              </w:rPr>
              <w:t>apparatus should ensure: ionic cleaning of the substrates (first beam) and deposition of composite coatings (second beam).</w:t>
            </w:r>
          </w:p>
        </w:tc>
      </w:tr>
    </w:tbl>
    <w:p w:rsidR="007E27FE" w:rsidRPr="00864306" w:rsidRDefault="007E27FE" w:rsidP="00D21C13">
      <w:pPr>
        <w:rPr>
          <w:rFonts w:ascii="Verdana" w:hAnsi="Verdana"/>
          <w:sz w:val="20"/>
          <w:szCs w:val="20"/>
          <w:lang w:val="en-GB"/>
        </w:rPr>
      </w:pPr>
    </w:p>
    <w:p w:rsidR="007E27FE" w:rsidRPr="00BD0F16" w:rsidRDefault="007E27FE" w:rsidP="00EB7ECD">
      <w:pPr>
        <w:tabs>
          <w:tab w:val="left" w:pos="567"/>
        </w:tabs>
        <w:spacing w:after="0" w:line="360" w:lineRule="auto"/>
        <w:jc w:val="center"/>
        <w:rPr>
          <w:rFonts w:cs="Calibri"/>
          <w:b/>
          <w:sz w:val="20"/>
          <w:szCs w:val="20"/>
          <w:lang w:val="en-GB" w:eastAsia="pl-PL"/>
        </w:rPr>
      </w:pPr>
    </w:p>
    <w:p w:rsidR="007E27FE" w:rsidRPr="00BD0F16" w:rsidRDefault="007E27FE" w:rsidP="00B841FC">
      <w:pPr>
        <w:tabs>
          <w:tab w:val="left" w:pos="9071"/>
        </w:tabs>
        <w:suppressAutoHyphens/>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Pr="001E0363" w:rsidRDefault="007E27FE" w:rsidP="001E0363">
      <w:pPr>
        <w:tabs>
          <w:tab w:val="left" w:pos="9071"/>
        </w:tabs>
        <w:suppressAutoHyphens/>
        <w:rPr>
          <w:rFonts w:ascii="Verdana" w:hAnsi="Verdana"/>
          <w:b/>
          <w:color w:val="000000"/>
          <w:sz w:val="20"/>
          <w:szCs w:val="28"/>
          <w:lang w:val="en-US" w:eastAsia="ar-SA"/>
        </w:rPr>
      </w:pPr>
    </w:p>
    <w:p w:rsidR="007E27FE" w:rsidRPr="001E0363" w:rsidRDefault="007E27FE" w:rsidP="003572B3">
      <w:pPr>
        <w:tabs>
          <w:tab w:val="left" w:pos="9071"/>
        </w:tabs>
        <w:suppressAutoHyphens/>
        <w:jc w:val="center"/>
        <w:rPr>
          <w:rFonts w:ascii="Verdana" w:hAnsi="Verdana"/>
          <w:b/>
          <w:color w:val="000000"/>
          <w:sz w:val="20"/>
          <w:szCs w:val="28"/>
          <w:lang w:val="en-US" w:eastAsia="ar-SA"/>
        </w:rPr>
      </w:pPr>
    </w:p>
    <w:p w:rsidR="007E27FE" w:rsidRDefault="007E27FE"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7E27FE" w:rsidRDefault="007E27FE"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7E27FE" w:rsidRPr="00B841FC" w:rsidRDefault="007E27FE" w:rsidP="00B841FC">
      <w:pPr>
        <w:tabs>
          <w:tab w:val="left" w:pos="9071"/>
        </w:tabs>
        <w:suppressAutoHyphens/>
        <w:jc w:val="center"/>
        <w:rPr>
          <w:rFonts w:ascii="Verdana" w:hAnsi="Verdana"/>
          <w:color w:val="000000"/>
          <w:sz w:val="20"/>
          <w:szCs w:val="28"/>
          <w:lang w:eastAsia="ar-SA"/>
        </w:rPr>
      </w:pPr>
    </w:p>
    <w:p w:rsidR="007E27FE" w:rsidRDefault="007E27FE" w:rsidP="009D60E5">
      <w:pPr>
        <w:rPr>
          <w:b/>
        </w:rPr>
      </w:pPr>
      <w:r w:rsidRPr="0081375D">
        <w:rPr>
          <w:b/>
        </w:rPr>
        <w:t>Modernizacja istniejącego w Sieć Badawcza Łukasiewicz - Krakowskim Instytucie Technologicznym urządzenia NNV-6.6 I1UHL4 do nanoszenia powłok metodą PVD</w:t>
      </w:r>
    </w:p>
    <w:p w:rsidR="007E27FE" w:rsidRPr="0081375D" w:rsidRDefault="007E27FE" w:rsidP="009D60E5">
      <w:pPr>
        <w:rPr>
          <w:b/>
        </w:rPr>
      </w:pPr>
    </w:p>
    <w:p w:rsidR="007E27FE" w:rsidRDefault="007E27FE" w:rsidP="009D60E5">
      <w:pPr>
        <w:tabs>
          <w:tab w:val="left" w:pos="9071"/>
        </w:tabs>
        <w:suppressAutoHyphens/>
        <w:spacing w:line="360" w:lineRule="auto"/>
        <w:rPr>
          <w:rFonts w:ascii="Arial" w:hAnsi="Arial" w:cs="Arial"/>
          <w:b/>
          <w:sz w:val="18"/>
          <w:szCs w:val="18"/>
          <w:lang w:eastAsia="ar-SA"/>
        </w:rPr>
      </w:pPr>
      <w:r>
        <w:rPr>
          <w:rFonts w:ascii="Arial" w:hAnsi="Arial" w:cs="Arial"/>
          <w:b/>
          <w:sz w:val="18"/>
          <w:szCs w:val="18"/>
          <w:lang w:eastAsia="ar-SA"/>
        </w:rPr>
        <w:t>Oferuję wykonanie przedmiotu zamówienia na zasadach opisanych w SWZ w cenie:</w:t>
      </w:r>
    </w:p>
    <w:p w:rsidR="007E27FE" w:rsidRDefault="007E27FE" w:rsidP="009D60E5">
      <w:pPr>
        <w:tabs>
          <w:tab w:val="left" w:pos="9071"/>
        </w:tabs>
        <w:suppressAutoHyphens/>
        <w:spacing w:line="360" w:lineRule="auto"/>
        <w:rPr>
          <w:rFonts w:ascii="Arial" w:hAnsi="Arial" w:cs="Arial"/>
          <w:b/>
          <w:sz w:val="18"/>
          <w:szCs w:val="18"/>
          <w:lang w:eastAsia="ar-SA"/>
        </w:rPr>
      </w:pPr>
    </w:p>
    <w:p w:rsidR="007E27FE" w:rsidRDefault="007E27FE" w:rsidP="009D60E5">
      <w:pPr>
        <w:tabs>
          <w:tab w:val="left" w:pos="9071"/>
        </w:tabs>
        <w:suppressAutoHyphens/>
        <w:spacing w:line="360" w:lineRule="auto"/>
        <w:rPr>
          <w:rFonts w:ascii="Arial" w:hAnsi="Arial" w:cs="Arial"/>
          <w:b/>
          <w:sz w:val="18"/>
          <w:szCs w:val="18"/>
          <w:lang w:eastAsia="ar-SA"/>
        </w:rPr>
      </w:pPr>
      <w:r>
        <w:rPr>
          <w:rFonts w:ascii="Arial" w:hAnsi="Arial" w:cs="Arial"/>
          <w:b/>
          <w:sz w:val="18"/>
          <w:szCs w:val="18"/>
          <w:lang w:eastAsia="ar-SA"/>
        </w:rPr>
        <w:t>………………………………………………………………………………………………………PLN ( wartość z VAT )</w:t>
      </w:r>
    </w:p>
    <w:p w:rsidR="007E27FE" w:rsidRDefault="007E27FE" w:rsidP="009D60E5">
      <w:pPr>
        <w:tabs>
          <w:tab w:val="left" w:pos="9071"/>
        </w:tabs>
        <w:suppressAutoHyphens/>
        <w:spacing w:line="360" w:lineRule="auto"/>
        <w:rPr>
          <w:rFonts w:ascii="Arial" w:hAnsi="Arial" w:cs="Arial"/>
          <w:b/>
          <w:sz w:val="18"/>
          <w:szCs w:val="18"/>
          <w:lang w:eastAsia="ar-SA"/>
        </w:rPr>
      </w:pPr>
    </w:p>
    <w:p w:rsidR="007E27FE" w:rsidRDefault="007E27FE" w:rsidP="009D60E5">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7E27FE" w:rsidRDefault="007E27FE"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7E27FE" w:rsidTr="00874679">
        <w:tc>
          <w:tcPr>
            <w:tcW w:w="2453" w:type="pct"/>
            <w:vAlign w:val="center"/>
          </w:tcPr>
          <w:p w:rsidR="007E27FE" w:rsidRDefault="007E27FE" w:rsidP="00874679">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7E27FE" w:rsidRDefault="007E27FE" w:rsidP="00874679">
            <w:pPr>
              <w:jc w:val="center"/>
              <w:rPr>
                <w:rFonts w:ascii="Verdana" w:hAnsi="Verdana"/>
                <w:b/>
                <w:sz w:val="18"/>
                <w:szCs w:val="20"/>
              </w:rPr>
            </w:pPr>
            <w:r>
              <w:rPr>
                <w:rFonts w:ascii="Verdana" w:hAnsi="Verdana"/>
                <w:b/>
                <w:sz w:val="18"/>
                <w:szCs w:val="20"/>
              </w:rPr>
              <w:t>Nazwy firm podwykonawców:</w:t>
            </w:r>
          </w:p>
        </w:tc>
      </w:tr>
      <w:tr w:rsidR="007E27FE" w:rsidTr="00874679">
        <w:trPr>
          <w:trHeight w:val="810"/>
        </w:trPr>
        <w:tc>
          <w:tcPr>
            <w:tcW w:w="2453" w:type="pct"/>
          </w:tcPr>
          <w:p w:rsidR="007E27FE" w:rsidRDefault="007E27FE" w:rsidP="00874679">
            <w:pPr>
              <w:jc w:val="center"/>
              <w:rPr>
                <w:rFonts w:ascii="Verdana" w:hAnsi="Verdana"/>
                <w:sz w:val="20"/>
                <w:szCs w:val="20"/>
              </w:rPr>
            </w:pPr>
          </w:p>
        </w:tc>
        <w:tc>
          <w:tcPr>
            <w:tcW w:w="2547" w:type="pct"/>
          </w:tcPr>
          <w:p w:rsidR="007E27FE" w:rsidRDefault="007E27FE" w:rsidP="00874679">
            <w:pPr>
              <w:rPr>
                <w:rFonts w:ascii="Verdana" w:hAnsi="Verdana"/>
                <w:sz w:val="20"/>
                <w:szCs w:val="20"/>
              </w:rPr>
            </w:pPr>
          </w:p>
        </w:tc>
      </w:tr>
    </w:tbl>
    <w:p w:rsidR="007E27FE" w:rsidRDefault="007E27FE" w:rsidP="009D60E5">
      <w:pPr>
        <w:rPr>
          <w:rFonts w:ascii="Verdana" w:hAnsi="Verdana"/>
          <w:sz w:val="8"/>
          <w:szCs w:val="20"/>
        </w:rPr>
      </w:pPr>
    </w:p>
    <w:p w:rsidR="007E27FE" w:rsidRDefault="007E27FE"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7E27FE" w:rsidRDefault="007E27FE" w:rsidP="009D60E5">
      <w:pPr>
        <w:pStyle w:val="ListParagraph"/>
        <w:spacing w:after="120" w:line="240" w:lineRule="auto"/>
        <w:jc w:val="both"/>
      </w:pPr>
    </w:p>
    <w:p w:rsidR="007E27FE" w:rsidRDefault="007E27FE" w:rsidP="009D60E5">
      <w:pPr>
        <w:tabs>
          <w:tab w:val="left" w:pos="567"/>
        </w:tabs>
        <w:spacing w:after="0" w:line="360" w:lineRule="auto"/>
        <w:jc w:val="center"/>
        <w:rPr>
          <w:rFonts w:cs="Calibri"/>
          <w:sz w:val="20"/>
          <w:szCs w:val="20"/>
          <w:lang w:eastAsia="pl-PL"/>
        </w:rPr>
      </w:pPr>
    </w:p>
    <w:p w:rsidR="007E27FE" w:rsidRDefault="007E27FE" w:rsidP="00EB7ECD">
      <w:pPr>
        <w:tabs>
          <w:tab w:val="left" w:pos="567"/>
        </w:tabs>
        <w:spacing w:after="0" w:line="360" w:lineRule="auto"/>
        <w:jc w:val="center"/>
        <w:rPr>
          <w:rFonts w:cs="Calibri"/>
          <w:sz w:val="20"/>
          <w:szCs w:val="20"/>
          <w:lang w:eastAsia="pl-PL"/>
        </w:rPr>
      </w:pPr>
    </w:p>
    <w:sectPr w:rsidR="007E27FE" w:rsidSect="0054448A">
      <w:pgSz w:w="11906" w:h="16838"/>
      <w:pgMar w:top="1440" w:right="924" w:bottom="1077"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7FE" w:rsidRDefault="007E27FE">
      <w:pPr>
        <w:spacing w:after="0" w:line="240" w:lineRule="auto"/>
      </w:pPr>
      <w:r>
        <w:separator/>
      </w:r>
    </w:p>
  </w:endnote>
  <w:endnote w:type="continuationSeparator" w:id="0">
    <w:p w:rsidR="007E27FE" w:rsidRDefault="007E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7FE" w:rsidRDefault="007E27FE">
      <w:pPr>
        <w:spacing w:after="0" w:line="240" w:lineRule="auto"/>
      </w:pPr>
      <w:r>
        <w:separator/>
      </w:r>
    </w:p>
  </w:footnote>
  <w:footnote w:type="continuationSeparator" w:id="0">
    <w:p w:rsidR="007E27FE" w:rsidRDefault="007E2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B306A7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8F55F24"/>
    <w:multiLevelType w:val="hybridMultilevel"/>
    <w:tmpl w:val="5F5CC6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E464BB5"/>
    <w:multiLevelType w:val="hybridMultilevel"/>
    <w:tmpl w:val="687CF9B0"/>
    <w:lvl w:ilvl="0" w:tplc="F94A3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5C5CBD"/>
    <w:multiLevelType w:val="hybridMultilevel"/>
    <w:tmpl w:val="0F92AA9E"/>
    <w:lvl w:ilvl="0" w:tplc="F94A3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DD175FA"/>
    <w:multiLevelType w:val="hybridMultilevel"/>
    <w:tmpl w:val="B5CA737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B0B56D5"/>
    <w:multiLevelType w:val="hybridMultilevel"/>
    <w:tmpl w:val="CA1A02DA"/>
    <w:lvl w:ilvl="0" w:tplc="05726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B52228"/>
    <w:multiLevelType w:val="hybridMultilevel"/>
    <w:tmpl w:val="01D21D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39B305B"/>
    <w:multiLevelType w:val="hybridMultilevel"/>
    <w:tmpl w:val="A4D2B5EA"/>
    <w:lvl w:ilvl="0" w:tplc="F94A3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F01286"/>
    <w:multiLevelType w:val="hybridMultilevel"/>
    <w:tmpl w:val="5670A1B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E2B2ED2"/>
    <w:multiLevelType w:val="hybridMultilevel"/>
    <w:tmpl w:val="9722A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312530"/>
    <w:multiLevelType w:val="hybridMultilevel"/>
    <w:tmpl w:val="B080A33A"/>
    <w:lvl w:ilvl="0" w:tplc="F94A3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B94CD7"/>
    <w:multiLevelType w:val="multilevel"/>
    <w:tmpl w:val="360A9412"/>
    <w:lvl w:ilvl="0">
      <w:start w:val="1"/>
      <w:numFmt w:val="decimal"/>
      <w:lvlText w:val="%1."/>
      <w:lvlJc w:val="left"/>
      <w:pPr>
        <w:tabs>
          <w:tab w:val="num" w:pos="690"/>
        </w:tabs>
        <w:ind w:left="690" w:hanging="360"/>
      </w:pPr>
      <w:rPr>
        <w:rFonts w:cs="Times New Roman"/>
      </w:rPr>
    </w:lvl>
    <w:lvl w:ilvl="1" w:tentative="1">
      <w:start w:val="1"/>
      <w:numFmt w:val="decimal"/>
      <w:lvlText w:val="%2."/>
      <w:lvlJc w:val="left"/>
      <w:pPr>
        <w:tabs>
          <w:tab w:val="num" w:pos="1410"/>
        </w:tabs>
        <w:ind w:left="1410" w:hanging="360"/>
      </w:pPr>
      <w:rPr>
        <w:rFonts w:cs="Times New Roman"/>
      </w:rPr>
    </w:lvl>
    <w:lvl w:ilvl="2" w:tentative="1">
      <w:start w:val="1"/>
      <w:numFmt w:val="decimal"/>
      <w:lvlText w:val="%3."/>
      <w:lvlJc w:val="left"/>
      <w:pPr>
        <w:tabs>
          <w:tab w:val="num" w:pos="2130"/>
        </w:tabs>
        <w:ind w:left="2130" w:hanging="360"/>
      </w:pPr>
      <w:rPr>
        <w:rFonts w:cs="Times New Roman"/>
      </w:rPr>
    </w:lvl>
    <w:lvl w:ilvl="3" w:tentative="1">
      <w:start w:val="1"/>
      <w:numFmt w:val="decimal"/>
      <w:lvlText w:val="%4."/>
      <w:lvlJc w:val="left"/>
      <w:pPr>
        <w:tabs>
          <w:tab w:val="num" w:pos="2850"/>
        </w:tabs>
        <w:ind w:left="2850" w:hanging="360"/>
      </w:pPr>
      <w:rPr>
        <w:rFonts w:cs="Times New Roman"/>
      </w:rPr>
    </w:lvl>
    <w:lvl w:ilvl="4" w:tentative="1">
      <w:start w:val="1"/>
      <w:numFmt w:val="decimal"/>
      <w:lvlText w:val="%5."/>
      <w:lvlJc w:val="left"/>
      <w:pPr>
        <w:tabs>
          <w:tab w:val="num" w:pos="3570"/>
        </w:tabs>
        <w:ind w:left="3570" w:hanging="360"/>
      </w:pPr>
      <w:rPr>
        <w:rFonts w:cs="Times New Roman"/>
      </w:rPr>
    </w:lvl>
    <w:lvl w:ilvl="5" w:tentative="1">
      <w:start w:val="1"/>
      <w:numFmt w:val="decimal"/>
      <w:lvlText w:val="%6."/>
      <w:lvlJc w:val="left"/>
      <w:pPr>
        <w:tabs>
          <w:tab w:val="num" w:pos="4290"/>
        </w:tabs>
        <w:ind w:left="4290" w:hanging="360"/>
      </w:pPr>
      <w:rPr>
        <w:rFonts w:cs="Times New Roman"/>
      </w:rPr>
    </w:lvl>
    <w:lvl w:ilvl="6" w:tentative="1">
      <w:start w:val="1"/>
      <w:numFmt w:val="decimal"/>
      <w:lvlText w:val="%7."/>
      <w:lvlJc w:val="left"/>
      <w:pPr>
        <w:tabs>
          <w:tab w:val="num" w:pos="5010"/>
        </w:tabs>
        <w:ind w:left="5010" w:hanging="360"/>
      </w:pPr>
      <w:rPr>
        <w:rFonts w:cs="Times New Roman"/>
      </w:rPr>
    </w:lvl>
    <w:lvl w:ilvl="7" w:tentative="1">
      <w:start w:val="1"/>
      <w:numFmt w:val="decimal"/>
      <w:lvlText w:val="%8."/>
      <w:lvlJc w:val="left"/>
      <w:pPr>
        <w:tabs>
          <w:tab w:val="num" w:pos="5730"/>
        </w:tabs>
        <w:ind w:left="5730" w:hanging="360"/>
      </w:pPr>
      <w:rPr>
        <w:rFonts w:cs="Times New Roman"/>
      </w:rPr>
    </w:lvl>
    <w:lvl w:ilvl="8" w:tentative="1">
      <w:start w:val="1"/>
      <w:numFmt w:val="decimal"/>
      <w:lvlText w:val="%9."/>
      <w:lvlJc w:val="left"/>
      <w:pPr>
        <w:tabs>
          <w:tab w:val="num" w:pos="6450"/>
        </w:tabs>
        <w:ind w:left="6450" w:hanging="360"/>
      </w:pPr>
      <w:rPr>
        <w:rFonts w:cs="Times New Roman"/>
      </w:rPr>
    </w:lvl>
  </w:abstractNum>
  <w:abstractNum w:abstractNumId="31">
    <w:nsid w:val="70733145"/>
    <w:multiLevelType w:val="hybridMultilevel"/>
    <w:tmpl w:val="A25058EE"/>
    <w:lvl w:ilvl="0" w:tplc="F94A3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9C316D"/>
    <w:multiLevelType w:val="hybridMultilevel"/>
    <w:tmpl w:val="E196E0C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7164DA7"/>
    <w:multiLevelType w:val="hybridMultilevel"/>
    <w:tmpl w:val="950EC1A0"/>
    <w:lvl w:ilvl="0" w:tplc="8DB0FFF2">
      <w:start w:val="1"/>
      <w:numFmt w:val="lowerLetter"/>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E501481"/>
    <w:multiLevelType w:val="hybridMultilevel"/>
    <w:tmpl w:val="4282C14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lvlOverride w:ilvl="0">
      <w:lvl w:ilvl="0">
        <w:start w:val="17"/>
        <w:numFmt w:val="bullet"/>
        <w:pStyle w:val="ListBullet3"/>
        <w:lvlText w:val="-"/>
        <w:legacy w:legacy="1" w:legacySpace="120" w:legacyIndent="360"/>
        <w:lvlJc w:val="left"/>
        <w:pPr>
          <w:ind w:left="360" w:hanging="360"/>
        </w:pPr>
      </w:lvl>
    </w:lvlOverride>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32"/>
  </w:num>
  <w:num w:numId="19">
    <w:abstractNumId w:val="24"/>
  </w:num>
  <w:num w:numId="20">
    <w:abstractNumId w:val="30"/>
  </w:num>
  <w:num w:numId="21">
    <w:abstractNumId w:val="27"/>
  </w:num>
  <w:num w:numId="22">
    <w:abstractNumId w:val="10"/>
  </w:num>
  <w:num w:numId="23">
    <w:abstractNumId w:val="19"/>
  </w:num>
  <w:num w:numId="24">
    <w:abstractNumId w:val="36"/>
  </w:num>
  <w:num w:numId="25">
    <w:abstractNumId w:val="33"/>
  </w:num>
  <w:num w:numId="26">
    <w:abstractNumId w:val="20"/>
  </w:num>
  <w:num w:numId="27">
    <w:abstractNumId w:val="25"/>
  </w:num>
  <w:num w:numId="28">
    <w:abstractNumId w:val="16"/>
  </w:num>
  <w:num w:numId="29">
    <w:abstractNumId w:val="28"/>
  </w:num>
  <w:num w:numId="30">
    <w:abstractNumId w:val="13"/>
  </w:num>
  <w:num w:numId="31">
    <w:abstractNumId w:val="21"/>
  </w:num>
  <w:num w:numId="32">
    <w:abstractNumId w:val="31"/>
  </w:num>
  <w:num w:numId="33">
    <w:abstractNumId w:val="34"/>
  </w:num>
  <w:num w:numId="34">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3739"/>
    <w:rsid w:val="00036225"/>
    <w:rsid w:val="00051DAB"/>
    <w:rsid w:val="0005614F"/>
    <w:rsid w:val="00062CAB"/>
    <w:rsid w:val="000850B8"/>
    <w:rsid w:val="00093692"/>
    <w:rsid w:val="00093CCD"/>
    <w:rsid w:val="00095165"/>
    <w:rsid w:val="000B4B52"/>
    <w:rsid w:val="000C2BA8"/>
    <w:rsid w:val="000D6125"/>
    <w:rsid w:val="000E4487"/>
    <w:rsid w:val="000E5B1F"/>
    <w:rsid w:val="000F489C"/>
    <w:rsid w:val="00114FA4"/>
    <w:rsid w:val="00150115"/>
    <w:rsid w:val="001540EA"/>
    <w:rsid w:val="00157C41"/>
    <w:rsid w:val="00161CF8"/>
    <w:rsid w:val="0016319A"/>
    <w:rsid w:val="00165D2C"/>
    <w:rsid w:val="0017022A"/>
    <w:rsid w:val="00194D57"/>
    <w:rsid w:val="001976BC"/>
    <w:rsid w:val="001B4234"/>
    <w:rsid w:val="001D3668"/>
    <w:rsid w:val="001E0363"/>
    <w:rsid w:val="001E23AE"/>
    <w:rsid w:val="001E3B90"/>
    <w:rsid w:val="001E4E66"/>
    <w:rsid w:val="002003EA"/>
    <w:rsid w:val="002248F0"/>
    <w:rsid w:val="002342B8"/>
    <w:rsid w:val="00235DF4"/>
    <w:rsid w:val="0024400C"/>
    <w:rsid w:val="0025172E"/>
    <w:rsid w:val="00256316"/>
    <w:rsid w:val="00256D7D"/>
    <w:rsid w:val="00266901"/>
    <w:rsid w:val="00274E81"/>
    <w:rsid w:val="00285812"/>
    <w:rsid w:val="002A22DC"/>
    <w:rsid w:val="002B1BC5"/>
    <w:rsid w:val="002B39C1"/>
    <w:rsid w:val="002C14D1"/>
    <w:rsid w:val="002C75C1"/>
    <w:rsid w:val="002D1210"/>
    <w:rsid w:val="002E4462"/>
    <w:rsid w:val="002E7069"/>
    <w:rsid w:val="00306958"/>
    <w:rsid w:val="0031287B"/>
    <w:rsid w:val="0033132E"/>
    <w:rsid w:val="003329C0"/>
    <w:rsid w:val="00337B73"/>
    <w:rsid w:val="003413C0"/>
    <w:rsid w:val="003572B3"/>
    <w:rsid w:val="00363BB5"/>
    <w:rsid w:val="003804E5"/>
    <w:rsid w:val="00381482"/>
    <w:rsid w:val="00381B5A"/>
    <w:rsid w:val="00397EE2"/>
    <w:rsid w:val="003A2CA3"/>
    <w:rsid w:val="003A62BB"/>
    <w:rsid w:val="003D4440"/>
    <w:rsid w:val="003F5153"/>
    <w:rsid w:val="003F72F5"/>
    <w:rsid w:val="00403573"/>
    <w:rsid w:val="00413113"/>
    <w:rsid w:val="0041383F"/>
    <w:rsid w:val="00442E28"/>
    <w:rsid w:val="00444660"/>
    <w:rsid w:val="00454D80"/>
    <w:rsid w:val="004645AA"/>
    <w:rsid w:val="00475A63"/>
    <w:rsid w:val="00475E41"/>
    <w:rsid w:val="004773B7"/>
    <w:rsid w:val="00487381"/>
    <w:rsid w:val="004930C3"/>
    <w:rsid w:val="004B18BE"/>
    <w:rsid w:val="004C1394"/>
    <w:rsid w:val="004C27A2"/>
    <w:rsid w:val="004C2B30"/>
    <w:rsid w:val="004C4BBF"/>
    <w:rsid w:val="004F62F6"/>
    <w:rsid w:val="005003B4"/>
    <w:rsid w:val="00500D4E"/>
    <w:rsid w:val="00502B1F"/>
    <w:rsid w:val="00515A8C"/>
    <w:rsid w:val="00527164"/>
    <w:rsid w:val="005352D3"/>
    <w:rsid w:val="0054448A"/>
    <w:rsid w:val="00550413"/>
    <w:rsid w:val="00575FFA"/>
    <w:rsid w:val="005801D8"/>
    <w:rsid w:val="00584622"/>
    <w:rsid w:val="00591D05"/>
    <w:rsid w:val="005A35C8"/>
    <w:rsid w:val="005A5EDE"/>
    <w:rsid w:val="005C054F"/>
    <w:rsid w:val="005C203A"/>
    <w:rsid w:val="005C2D3E"/>
    <w:rsid w:val="005D0C7B"/>
    <w:rsid w:val="005E3CF5"/>
    <w:rsid w:val="005F658B"/>
    <w:rsid w:val="00600428"/>
    <w:rsid w:val="0060044E"/>
    <w:rsid w:val="0060059E"/>
    <w:rsid w:val="00603576"/>
    <w:rsid w:val="00605B8B"/>
    <w:rsid w:val="006075D0"/>
    <w:rsid w:val="00614BEA"/>
    <w:rsid w:val="00617027"/>
    <w:rsid w:val="006202DD"/>
    <w:rsid w:val="00627395"/>
    <w:rsid w:val="00627F66"/>
    <w:rsid w:val="00632BF9"/>
    <w:rsid w:val="0063305D"/>
    <w:rsid w:val="00641238"/>
    <w:rsid w:val="00663DB4"/>
    <w:rsid w:val="00665193"/>
    <w:rsid w:val="00673B46"/>
    <w:rsid w:val="00683F08"/>
    <w:rsid w:val="00693F3D"/>
    <w:rsid w:val="006A0A71"/>
    <w:rsid w:val="006B3373"/>
    <w:rsid w:val="0072159C"/>
    <w:rsid w:val="00733913"/>
    <w:rsid w:val="0073494C"/>
    <w:rsid w:val="00741A30"/>
    <w:rsid w:val="007704A1"/>
    <w:rsid w:val="00773E92"/>
    <w:rsid w:val="00783B92"/>
    <w:rsid w:val="0079496D"/>
    <w:rsid w:val="007A4CC1"/>
    <w:rsid w:val="007B4623"/>
    <w:rsid w:val="007C3148"/>
    <w:rsid w:val="007D5AFA"/>
    <w:rsid w:val="007E1C46"/>
    <w:rsid w:val="007E27FE"/>
    <w:rsid w:val="007E3C23"/>
    <w:rsid w:val="007E697E"/>
    <w:rsid w:val="007F0F69"/>
    <w:rsid w:val="007F7F0F"/>
    <w:rsid w:val="008002FC"/>
    <w:rsid w:val="008005E6"/>
    <w:rsid w:val="00801242"/>
    <w:rsid w:val="0081375D"/>
    <w:rsid w:val="00814857"/>
    <w:rsid w:val="00827DA3"/>
    <w:rsid w:val="008305DE"/>
    <w:rsid w:val="008360A7"/>
    <w:rsid w:val="00855C93"/>
    <w:rsid w:val="00857CF0"/>
    <w:rsid w:val="00862DDC"/>
    <w:rsid w:val="00864306"/>
    <w:rsid w:val="00874679"/>
    <w:rsid w:val="00880CF6"/>
    <w:rsid w:val="008A2818"/>
    <w:rsid w:val="008A6484"/>
    <w:rsid w:val="008C2B72"/>
    <w:rsid w:val="008E5DF1"/>
    <w:rsid w:val="008F1431"/>
    <w:rsid w:val="008F711E"/>
    <w:rsid w:val="009035B6"/>
    <w:rsid w:val="00907544"/>
    <w:rsid w:val="00917B9A"/>
    <w:rsid w:val="00922897"/>
    <w:rsid w:val="009278F5"/>
    <w:rsid w:val="00927CBA"/>
    <w:rsid w:val="00940910"/>
    <w:rsid w:val="00952563"/>
    <w:rsid w:val="0095677E"/>
    <w:rsid w:val="009704C7"/>
    <w:rsid w:val="00980474"/>
    <w:rsid w:val="00981298"/>
    <w:rsid w:val="00984E53"/>
    <w:rsid w:val="00996C25"/>
    <w:rsid w:val="009A16BA"/>
    <w:rsid w:val="009B17BF"/>
    <w:rsid w:val="009B1FDA"/>
    <w:rsid w:val="009B6EA2"/>
    <w:rsid w:val="009C50B9"/>
    <w:rsid w:val="009D5E9D"/>
    <w:rsid w:val="009D60E5"/>
    <w:rsid w:val="00A01C15"/>
    <w:rsid w:val="00A11EC5"/>
    <w:rsid w:val="00A37163"/>
    <w:rsid w:val="00A53E4D"/>
    <w:rsid w:val="00A80CF7"/>
    <w:rsid w:val="00A8346E"/>
    <w:rsid w:val="00A9399E"/>
    <w:rsid w:val="00AA589E"/>
    <w:rsid w:val="00AC25C9"/>
    <w:rsid w:val="00AD1180"/>
    <w:rsid w:val="00AF090A"/>
    <w:rsid w:val="00AF7406"/>
    <w:rsid w:val="00B0729B"/>
    <w:rsid w:val="00B13B64"/>
    <w:rsid w:val="00B152E1"/>
    <w:rsid w:val="00B21AB9"/>
    <w:rsid w:val="00B338F7"/>
    <w:rsid w:val="00B3615C"/>
    <w:rsid w:val="00B43BDC"/>
    <w:rsid w:val="00B47779"/>
    <w:rsid w:val="00B503B9"/>
    <w:rsid w:val="00B679CD"/>
    <w:rsid w:val="00B7634F"/>
    <w:rsid w:val="00B841FC"/>
    <w:rsid w:val="00BB53DF"/>
    <w:rsid w:val="00BB7F44"/>
    <w:rsid w:val="00BD04EA"/>
    <w:rsid w:val="00BD0A35"/>
    <w:rsid w:val="00BD0F16"/>
    <w:rsid w:val="00BE4678"/>
    <w:rsid w:val="00C003F1"/>
    <w:rsid w:val="00C04238"/>
    <w:rsid w:val="00C12FA9"/>
    <w:rsid w:val="00C15BA8"/>
    <w:rsid w:val="00C20B8D"/>
    <w:rsid w:val="00C21D56"/>
    <w:rsid w:val="00C259AB"/>
    <w:rsid w:val="00C34697"/>
    <w:rsid w:val="00C371D9"/>
    <w:rsid w:val="00C44910"/>
    <w:rsid w:val="00C50593"/>
    <w:rsid w:val="00C755D4"/>
    <w:rsid w:val="00C96042"/>
    <w:rsid w:val="00CB7150"/>
    <w:rsid w:val="00CC0FE9"/>
    <w:rsid w:val="00CC323E"/>
    <w:rsid w:val="00CC457E"/>
    <w:rsid w:val="00CD3941"/>
    <w:rsid w:val="00CE1C2B"/>
    <w:rsid w:val="00CE3735"/>
    <w:rsid w:val="00CE5D41"/>
    <w:rsid w:val="00CE6296"/>
    <w:rsid w:val="00D02092"/>
    <w:rsid w:val="00D21C13"/>
    <w:rsid w:val="00D230AF"/>
    <w:rsid w:val="00D304AC"/>
    <w:rsid w:val="00D35392"/>
    <w:rsid w:val="00D41A2F"/>
    <w:rsid w:val="00D46497"/>
    <w:rsid w:val="00D47942"/>
    <w:rsid w:val="00D55018"/>
    <w:rsid w:val="00D82B6D"/>
    <w:rsid w:val="00D877F4"/>
    <w:rsid w:val="00D95FC9"/>
    <w:rsid w:val="00D96C99"/>
    <w:rsid w:val="00DA0D9D"/>
    <w:rsid w:val="00DA35F7"/>
    <w:rsid w:val="00DA3AD8"/>
    <w:rsid w:val="00DA620E"/>
    <w:rsid w:val="00DB3978"/>
    <w:rsid w:val="00DB6F52"/>
    <w:rsid w:val="00DC3CD5"/>
    <w:rsid w:val="00E02043"/>
    <w:rsid w:val="00E07E90"/>
    <w:rsid w:val="00E157F7"/>
    <w:rsid w:val="00E17D0F"/>
    <w:rsid w:val="00E239C4"/>
    <w:rsid w:val="00E25178"/>
    <w:rsid w:val="00E3388C"/>
    <w:rsid w:val="00E5160A"/>
    <w:rsid w:val="00E53762"/>
    <w:rsid w:val="00E85B6A"/>
    <w:rsid w:val="00E8732C"/>
    <w:rsid w:val="00EB1F97"/>
    <w:rsid w:val="00EB32E3"/>
    <w:rsid w:val="00EB6A9A"/>
    <w:rsid w:val="00EB7ECD"/>
    <w:rsid w:val="00EC14D0"/>
    <w:rsid w:val="00EC639F"/>
    <w:rsid w:val="00ED7B59"/>
    <w:rsid w:val="00EE4AD5"/>
    <w:rsid w:val="00F15228"/>
    <w:rsid w:val="00F162B2"/>
    <w:rsid w:val="00F22E38"/>
    <w:rsid w:val="00F23C9D"/>
    <w:rsid w:val="00F26591"/>
    <w:rsid w:val="00F37479"/>
    <w:rsid w:val="00F51EBB"/>
    <w:rsid w:val="00F569BC"/>
    <w:rsid w:val="00F81447"/>
    <w:rsid w:val="00F87F43"/>
    <w:rsid w:val="00FA7415"/>
    <w:rsid w:val="00FC0756"/>
    <w:rsid w:val="00FC22E3"/>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8"/>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145664042">
      <w:marLeft w:val="0"/>
      <w:marRight w:val="0"/>
      <w:marTop w:val="0"/>
      <w:marBottom w:val="0"/>
      <w:divBdr>
        <w:top w:val="none" w:sz="0" w:space="0" w:color="auto"/>
        <w:left w:val="none" w:sz="0" w:space="0" w:color="auto"/>
        <w:bottom w:val="none" w:sz="0" w:space="0" w:color="auto"/>
        <w:right w:val="none" w:sz="0" w:space="0" w:color="auto"/>
      </w:divBdr>
    </w:div>
    <w:div w:id="1145664043">
      <w:marLeft w:val="0"/>
      <w:marRight w:val="0"/>
      <w:marTop w:val="0"/>
      <w:marBottom w:val="0"/>
      <w:divBdr>
        <w:top w:val="none" w:sz="0" w:space="0" w:color="auto"/>
        <w:left w:val="none" w:sz="0" w:space="0" w:color="auto"/>
        <w:bottom w:val="none" w:sz="0" w:space="0" w:color="auto"/>
        <w:right w:val="none" w:sz="0" w:space="0" w:color="auto"/>
      </w:divBdr>
    </w:div>
    <w:div w:id="1145664045">
      <w:marLeft w:val="0"/>
      <w:marRight w:val="0"/>
      <w:marTop w:val="0"/>
      <w:marBottom w:val="0"/>
      <w:divBdr>
        <w:top w:val="none" w:sz="0" w:space="0" w:color="auto"/>
        <w:left w:val="none" w:sz="0" w:space="0" w:color="auto"/>
        <w:bottom w:val="none" w:sz="0" w:space="0" w:color="auto"/>
        <w:right w:val="none" w:sz="0" w:space="0" w:color="auto"/>
      </w:divBdr>
      <w:divsChild>
        <w:div w:id="1145664044">
          <w:marLeft w:val="0"/>
          <w:marRight w:val="0"/>
          <w:marTop w:val="0"/>
          <w:marBottom w:val="0"/>
          <w:divBdr>
            <w:top w:val="none" w:sz="0" w:space="0" w:color="auto"/>
            <w:left w:val="none" w:sz="0" w:space="0" w:color="auto"/>
            <w:bottom w:val="none" w:sz="0" w:space="0" w:color="auto"/>
            <w:right w:val="none" w:sz="0" w:space="0" w:color="auto"/>
          </w:divBdr>
        </w:div>
      </w:divsChild>
    </w:div>
    <w:div w:id="114566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24</Pages>
  <Words>9551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15</cp:revision>
  <cp:lastPrinted>2021-06-22T10:12:00Z</cp:lastPrinted>
  <dcterms:created xsi:type="dcterms:W3CDTF">2021-08-30T12:40:00Z</dcterms:created>
  <dcterms:modified xsi:type="dcterms:W3CDTF">2021-08-31T09:52:00Z</dcterms:modified>
</cp:coreProperties>
</file>