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85" w:type="dxa"/>
        <w:tblInd w:w="-95" w:type="dxa"/>
        <w:tblLook w:val="04A0" w:firstRow="1" w:lastRow="0" w:firstColumn="1" w:lastColumn="0" w:noHBand="0" w:noVBand="1"/>
      </w:tblPr>
      <w:tblGrid>
        <w:gridCol w:w="1567"/>
        <w:gridCol w:w="9683"/>
        <w:gridCol w:w="3235"/>
      </w:tblGrid>
      <w:tr w:rsidR="00AA28C9" w:rsidRPr="001C60B8" w:rsidTr="006061CB">
        <w:trPr>
          <w:trHeight w:val="285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color w:val="FFFFFF"/>
                <w:sz w:val="20"/>
                <w:szCs w:val="20"/>
              </w:rPr>
              <w:t>Serwer | 1 sztuka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color w:val="000000"/>
                <w:sz w:val="20"/>
                <w:szCs w:val="20"/>
              </w:rPr>
              <w:t>Nazwa producenta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/ Model__________________________/_______________________________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Pr="00687FED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285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color w:val="FFFFFF"/>
                <w:sz w:val="20"/>
                <w:szCs w:val="20"/>
              </w:rPr>
              <w:t xml:space="preserve">Komponent 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0000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color w:val="FFFFFF"/>
                <w:sz w:val="20"/>
                <w:szCs w:val="20"/>
              </w:rPr>
              <w:t>Minimalne wymagania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0000"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Szczegółowy opis oferowanych parametrów( nie dopuszcza się używania zwrotów np. ”jak wymagane” lub podobne)</w:t>
            </w:r>
          </w:p>
        </w:tc>
      </w:tr>
      <w:tr w:rsidR="00AA28C9" w:rsidRPr="00E670A0" w:rsidTr="006061CB">
        <w:trPr>
          <w:trHeight w:val="210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Obudowa typu Tower, z możliwością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instalacji min. 8 dysków 3,5”, możliwość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konwersji do wersji </w:t>
            </w:r>
            <w:proofErr w:type="spellStart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poprzez dedykowane przez producenta serwera akcesoria. </w:t>
            </w:r>
            <w:r w:rsidRPr="00F6553C">
              <w:rPr>
                <w:rFonts w:cstheme="minorHAnsi"/>
                <w:color w:val="000000"/>
                <w:sz w:val="20"/>
                <w:szCs w:val="20"/>
              </w:rPr>
              <w:t xml:space="preserve">Obudowa musi mieć możliwość wyposażenia w </w:t>
            </w:r>
            <w:r w:rsidRPr="00F6553C">
              <w:rPr>
                <w:rFonts w:cstheme="minorHAnsi"/>
                <w:color w:val="000000" w:themeColor="text1"/>
                <w:sz w:val="20"/>
                <w:szCs w:val="20"/>
              </w:rPr>
              <w:t>kartę umożliwiającą dostęp bezpośredni poprzez urządzenia mobilne  - serwer musi posiadać możliwość konfiguracji oraz monitoringu najważniejszych komponentów serwera przy użyciu dedykowanej aplikacji mobilnej min. (Android/ Apple iOS) przy użyciu jednego z protokołów NFC/ BLE/ WIFI.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631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 możliwością instalacji minimum dwóch fizycznych procesorów, posiadająca minimum 16 slotów na pamięci z możliwością zainstalowania do minimum 512GB pamięci RAM, możliwe zabezpieczenia pamięci: ECC, SDDC, Memory Mirroring </w:t>
            </w:r>
            <w:proofErr w:type="spellStart"/>
            <w:r w:rsidRPr="00270917">
              <w:rPr>
                <w:rFonts w:eastAsia="Times New Roman" w:cstheme="minorHAnsi"/>
                <w:color w:val="000000"/>
                <w:sz w:val="20"/>
                <w:szCs w:val="20"/>
              </w:rPr>
              <w:t>Rank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Sparing, SBEC. Płyta główna zaprojektowana przez producenta serwera i oznaczona trwale jego znakiem firmowym.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516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</w:tcPr>
          <w:p w:rsidR="00AA28C9" w:rsidRPr="00F6553C" w:rsidRDefault="00AA28C9" w:rsidP="006061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6553C">
              <w:rPr>
                <w:rFonts w:cstheme="minorHAnsi"/>
                <w:sz w:val="20"/>
                <w:szCs w:val="20"/>
              </w:rPr>
              <w:t>Zainstalowane dwa procesory 8</w:t>
            </w:r>
            <w:r>
              <w:rPr>
                <w:rFonts w:cstheme="minorHAnsi"/>
                <w:sz w:val="20"/>
                <w:szCs w:val="20"/>
              </w:rPr>
              <w:t>-rdzeniowe klasy x86 dedykowane</w:t>
            </w:r>
            <w:r w:rsidRPr="00F6553C">
              <w:rPr>
                <w:rFonts w:cstheme="minorHAnsi"/>
                <w:sz w:val="20"/>
                <w:szCs w:val="20"/>
              </w:rPr>
              <w:t xml:space="preserve"> do pracy z zaoferowanym </w:t>
            </w:r>
            <w:r>
              <w:rPr>
                <w:rFonts w:cstheme="minorHAnsi"/>
                <w:sz w:val="20"/>
                <w:szCs w:val="20"/>
              </w:rPr>
              <w:t>umożliwiające osiągnięcie wyniku min. 44 punkty</w:t>
            </w:r>
            <w:r w:rsidRPr="003C74B3">
              <w:rPr>
                <w:rFonts w:cstheme="minorHAnsi"/>
                <w:sz w:val="20"/>
                <w:szCs w:val="20"/>
              </w:rPr>
              <w:t xml:space="preserve"> w teście SP</w:t>
            </w:r>
            <w:r>
              <w:rPr>
                <w:rFonts w:cstheme="minorHAnsi"/>
                <w:sz w:val="20"/>
                <w:szCs w:val="20"/>
              </w:rPr>
              <w:t>ECint_rate_base2017 oraz min. 59</w:t>
            </w:r>
            <w:r w:rsidRPr="003C74B3">
              <w:rPr>
                <w:rFonts w:cstheme="minorHAnsi"/>
                <w:sz w:val="20"/>
                <w:szCs w:val="20"/>
              </w:rPr>
              <w:t xml:space="preserve"> punktów w teście SPECfp_rate_base2017 dostępnych na stronie www.spec.org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21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64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GB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(2 x 32GB)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pamięci RAM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DDR4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o częstotliwości taktowania minimum 2666MHz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ECC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43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Sloty</w:t>
            </w:r>
            <w:proofErr w:type="spellEnd"/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PCI Express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Funkcjonujące </w:t>
            </w:r>
            <w:proofErr w:type="spellStart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PCI Express: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br/>
              <w:t xml:space="preserve">- minimum 5 slotów PCI Express trzeciej generacji, wszystkie </w:t>
            </w:r>
            <w:proofErr w:type="spellStart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pełnej wysokości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435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Minimum 6 portów USB z czego min. 2 w techno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logii 3.0 (porty nie mogą zostać osiągnię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te poprzez stosowanie dodatkowych adapterów, przejściówek oraz kart rozszerzeń) 1x RS-232, 2x VGA D-</w:t>
            </w:r>
            <w:proofErr w:type="spellStart"/>
            <w:r w:rsidRPr="00270917">
              <w:rPr>
                <w:rFonts w:eastAsia="Times New Roman" w:cstheme="minorHAnsi"/>
                <w:color w:val="000000"/>
                <w:sz w:val="20"/>
                <w:szCs w:val="20"/>
              </w:rPr>
              <w:t>Sub</w:t>
            </w:r>
            <w:proofErr w:type="spellEnd"/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21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Zintegrowana karta graficzna, umożliwiająca wyświetlanie obrazu w rozdzielczości minimum 1920x1200 pikseli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435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Minimum dwa interfe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jsy sieciowe 1Gb/s Ethernet nie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zajmujące żadnego z dostępnych slotów PCI Express oraz złącz USB.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646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Kontroler pamięci masowej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Sprzętowy kontroler dyskowy,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umożliwiający obsługę dysków z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prędkościami transferu 3, 6, 12Gb/s;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umożliwiający skonfigurowanie na wewnętrznej pamięci dyskowej zabezpieczeń RAID: 0, 1, 5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10, 50.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AA28C9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170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Wewnętrzna pamięć masowa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Możliwość instalacji dysków twardych typu: SATA, </w:t>
            </w:r>
            <w:proofErr w:type="spellStart"/>
            <w:r w:rsidRPr="00270917">
              <w:rPr>
                <w:rFonts w:eastAsia="Times New Roman" w:cstheme="minorHAnsi"/>
                <w:color w:val="000000"/>
                <w:sz w:val="20"/>
                <w:szCs w:val="20"/>
              </w:rPr>
              <w:t>NearLine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SAS, SAS, SSD oraz SED dostępnych w ofercie producenta serwera.</w:t>
            </w:r>
          </w:p>
          <w:p w:rsidR="00AA28C9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Zainstalowany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dysk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480GB SSD SATA </w:t>
            </w:r>
            <w:r w:rsidRPr="00F75B5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Read </w:t>
            </w:r>
            <w:proofErr w:type="spellStart"/>
            <w:r w:rsidRPr="00F75B58">
              <w:rPr>
                <w:rFonts w:eastAsia="Times New Roman" w:cstheme="minorHAnsi"/>
                <w:color w:val="000000"/>
                <w:sz w:val="20"/>
                <w:szCs w:val="20"/>
              </w:rPr>
              <w:t>Intensive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, 3,5” Hot-Plug oraz 2 dyski o pojemności min. 4TB SATA 7.2k RPM, 3,5” Hot-Plug.</w:t>
            </w:r>
          </w:p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Możliwość instalacji dodatkowej wewnętrznej pamięci masowej typu </w:t>
            </w:r>
            <w:proofErr w:type="spellStart"/>
            <w:r w:rsidRPr="00270917">
              <w:rPr>
                <w:rFonts w:eastAsia="Times New Roman" w:cstheme="minorHAnsi"/>
                <w:color w:val="000000"/>
                <w:sz w:val="20"/>
                <w:szCs w:val="20"/>
              </w:rPr>
              <w:t>flash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dedykowanej dla </w:t>
            </w:r>
            <w:proofErr w:type="spellStart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hypervisora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wirtualizacyjnego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, umożliwiającej konfigurację zabezpieczenia typu "mirror" lub RAID 1 z poziomu BIOS serwera, rozwiązanie nie może powodować zmniejszenia ilości minimalnej ilości wewnętrz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n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ej pamięci masowej w serwerze.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267FDB" w:rsidTr="006061CB">
        <w:trPr>
          <w:trHeight w:val="210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Napęd optyczny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Brak.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8C9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1729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Diagnostyka i bezpieczeństwo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28C9" w:rsidRPr="00F6553C" w:rsidRDefault="00AA28C9" w:rsidP="006061CB">
            <w:pPr>
              <w:spacing w:after="0" w:line="240" w:lineRule="auto"/>
              <w:ind w:left="116" w:hanging="141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-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Elektroniczny panel informacyjny umieszczony na froncie obudowy, umożliwiający wyświetlenie informacji o stanie procesora, pamięci, dysków, </w:t>
            </w:r>
            <w:proofErr w:type="spellStart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BIOS’u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, zasilaniu oraz temperaturze, adresach MAC kart sieciowych, numerze serwisowym serwera, aktualnym zużyciu energii, nazwie serwera, modelu serwera.</w:t>
            </w:r>
          </w:p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- zintegrowany z płytą główną moduł TPM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br/>
              <w:t>- wbudowany czujnik otwarcia obudowy współpracujący z BIOS i kartą zarządzającą.</w:t>
            </w:r>
          </w:p>
          <w:p w:rsidR="00AA28C9" w:rsidRPr="00F6553C" w:rsidRDefault="00AA28C9" w:rsidP="006061CB">
            <w:pPr>
              <w:spacing w:after="0" w:line="240" w:lineRule="auto"/>
              <w:ind w:left="116" w:hanging="116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- fizyczne zabezpieczenie dedykowane przez producenta serwera uniemożliwiające wyjęcie dysków twardych umieszczonych na froncie obudowy przez nieuprawnionych użytkowników.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ind w:left="116" w:hanging="2453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498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687FED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Chłodzenie i zasilanie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2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wentylatory;</w:t>
            </w:r>
          </w:p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asilacz o mocy minimum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750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W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F75B58">
              <w:rPr>
                <w:rFonts w:eastAsia="Times New Roman" w:cstheme="minorHAnsi"/>
                <w:color w:val="000000"/>
                <w:sz w:val="20"/>
                <w:szCs w:val="20"/>
              </w:rPr>
              <w:t>Hot-plug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 kablem zasilającym.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3135"/>
        </w:trPr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F6553C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8C9" w:rsidRDefault="00AA28C9" w:rsidP="006061CB">
            <w:pPr>
              <w:spacing w:after="12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 w:rsidRPr="003C74B3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Karta zarządzania </w:t>
            </w:r>
            <w:r>
              <w:rPr>
                <w:rFonts w:ascii="Calibri" w:hAnsi="Calibri" w:cs="Segoe UI"/>
                <w:color w:val="000000"/>
                <w:sz w:val="20"/>
                <w:szCs w:val="20"/>
              </w:rPr>
              <w:t>niezależna od zainstalowanego na serwerze systemu operacyjnego posiadająca dedykowany port RJ-45 Gigabit Ethernet umożliwiająca: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szyfrowane połączenie (SSLv3) oraz autentykacje i autoryzację użytkownika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wsparcie dla IPv6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wsparcie dla SNMP; IPMI2.0, VLAN </w:t>
            </w:r>
            <w:proofErr w:type="spellStart"/>
            <w:r w:rsidRPr="00270917">
              <w:rPr>
                <w:rFonts w:ascii="Calibri" w:hAnsi="Calibri" w:cs="Segoe UI"/>
                <w:color w:val="000000"/>
                <w:sz w:val="20"/>
                <w:szCs w:val="20"/>
              </w:rPr>
              <w:t>tagging</w:t>
            </w:r>
            <w:proofErr w:type="spellEnd"/>
            <w:r>
              <w:rPr>
                <w:rFonts w:ascii="Calibri" w:hAnsi="Calibri" w:cs="Segoe UI"/>
                <w:color w:val="000000"/>
                <w:sz w:val="20"/>
                <w:szCs w:val="20"/>
              </w:rPr>
              <w:t>, Telnet, SSH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możliwość zdalnego monitorowania w czasie rzeczywistym poboru prądu przez serwer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możliwość zdalnego ustawienia limitu poboru prądu przez konkretny serwer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wsparcie dla </w:t>
            </w:r>
            <w:proofErr w:type="spellStart"/>
            <w:r w:rsidRPr="00687FED">
              <w:rPr>
                <w:rFonts w:ascii="Calibri" w:hAnsi="Calibri" w:cs="Segoe UI"/>
                <w:color w:val="000000"/>
                <w:sz w:val="20"/>
                <w:szCs w:val="20"/>
              </w:rPr>
              <w:t>dynamic</w:t>
            </w:r>
            <w:proofErr w:type="spellEnd"/>
            <w:r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DNS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wysyłanie do administratora maila z powiadomieniem o awarii lub zmianie konfiguracji sprzętowej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możliwość podłączenia lokalnego poprzez złącze RS-232.</w:t>
            </w:r>
          </w:p>
          <w:p w:rsidR="00AA28C9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0"/>
                <w:szCs w:val="20"/>
              </w:rPr>
              <w:t>możliwość zarządzania bezpośredniego poprzez złącze USB umieszczone na froncie obudowy.</w:t>
            </w:r>
          </w:p>
          <w:p w:rsidR="00AA28C9" w:rsidRPr="00F6553C" w:rsidRDefault="00AA28C9" w:rsidP="00AA28C9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możliwość konfiguracji przepływu powietrza na każdym slocie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28C9" w:rsidRPr="003C74B3" w:rsidRDefault="00AA28C9" w:rsidP="006061CB">
            <w:pPr>
              <w:spacing w:after="120" w:line="240" w:lineRule="auto"/>
              <w:rPr>
                <w:rFonts w:ascii="Calibri" w:hAnsi="Calibri" w:cs="Segoe U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2709"/>
        </w:trPr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F6553C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3-letnia gwarancja producenta realizowana w miejscu instalacji sprzętu, z czasem reakcji do następnego dnia roboczego od przyjęcia zgłoszenia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 możliwość zgłaszania awarii 24x7x365.</w:t>
            </w:r>
          </w:p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Możliwość rozszerzenia gwarancji przez producenta do siedmiu lat.</w:t>
            </w:r>
          </w:p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Możliwość telefonicznego i elektronicznego sprawdzenia konfiguracji sprzętowej serwera oraz warunków gwarancji po podaniu numeru seryjnego bezpośrednio u producenta oraz poprzez stronę internetową producenta lub jego przedstawiciela.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br/>
              <w:t>Dokumentacja dostarczona wraz z serwerem dostępna w języku polskim lub angielskim.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br/>
              <w:t>Możliwość sprawdzenia statusu gwarancji poprzez stronę producenta podając unikatowy numer urządzenia, oraz pobieranie najnowszych uaktualnień oraz sterowników nawet w przypadku wygaśnięcia gwarancji serwera.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A28C9" w:rsidRPr="00E670A0" w:rsidTr="006061CB">
        <w:trPr>
          <w:trHeight w:val="855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8C9" w:rsidRPr="00F6553C" w:rsidRDefault="00AA28C9" w:rsidP="006061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687FE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8C9" w:rsidRPr="00F6553C" w:rsidRDefault="00AA28C9" w:rsidP="00EF462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>Serwer musi posiadać dekla</w:t>
            </w:r>
            <w:r w:rsidR="00EF462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racja CE </w:t>
            </w:r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br/>
              <w:t xml:space="preserve">Oferowany serwer musi znajdować się na liście Windows Server </w:t>
            </w:r>
            <w:proofErr w:type="spellStart"/>
            <w:r w:rsidRPr="00270917">
              <w:rPr>
                <w:rFonts w:eastAsia="Times New Roman" w:cstheme="minorHAnsi"/>
                <w:color w:val="000000"/>
                <w:sz w:val="20"/>
                <w:szCs w:val="20"/>
              </w:rPr>
              <w:t>Catalog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270917">
              <w:rPr>
                <w:rFonts w:eastAsia="Times New Roman" w:cstheme="minorHAnsi"/>
                <w:color w:val="000000"/>
                <w:sz w:val="20"/>
                <w:szCs w:val="20"/>
              </w:rPr>
              <w:t>Certified</w:t>
            </w:r>
            <w:proofErr w:type="spellEnd"/>
            <w:r w:rsidRPr="00F6553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for Windows” dla systemów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Microsoft Windows Server 2016,.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8C9" w:rsidRPr="00F6553C" w:rsidRDefault="00AA28C9" w:rsidP="006061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DA1ED3" w:rsidRDefault="00DA1ED3"/>
    <w:p w:rsidR="00EF4625" w:rsidRDefault="00EF4625"/>
    <w:p w:rsidR="00EF4625" w:rsidRDefault="00EF4625"/>
    <w:p w:rsidR="00EF4625" w:rsidRPr="009A001F" w:rsidRDefault="00EF4625" w:rsidP="00EF4625">
      <w:pPr>
        <w:autoSpaceDE w:val="0"/>
        <w:autoSpaceDN w:val="0"/>
        <w:adjustRightInd w:val="0"/>
        <w:jc w:val="center"/>
        <w:rPr>
          <w:rFonts w:ascii="Calibri" w:hAnsi="Calibri" w:cs="ArialNarrow"/>
        </w:rPr>
      </w:pPr>
      <w:r>
        <w:rPr>
          <w:rFonts w:ascii="Calibri" w:hAnsi="Calibri" w:cs="ArialNarrow"/>
        </w:rPr>
        <w:t xml:space="preserve">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9A001F">
        <w:rPr>
          <w:rFonts w:ascii="Calibri" w:hAnsi="Calibri" w:cs="ArialNarrow"/>
        </w:rPr>
        <w:t>..........</w:t>
      </w:r>
      <w:r>
        <w:rPr>
          <w:rFonts w:ascii="Calibri" w:hAnsi="Calibri" w:cs="ArialNarrow"/>
        </w:rPr>
        <w:t>......................</w:t>
      </w:r>
      <w:r w:rsidRPr="009A001F">
        <w:rPr>
          <w:rFonts w:ascii="Calibri" w:hAnsi="Calibri" w:cs="ArialNarrow"/>
        </w:rPr>
        <w:t>...........................................................</w:t>
      </w:r>
    </w:p>
    <w:p w:rsidR="00EF4625" w:rsidRPr="009E5628" w:rsidRDefault="00EF4625" w:rsidP="00EF4625">
      <w:pPr>
        <w:autoSpaceDE w:val="0"/>
        <w:autoSpaceDN w:val="0"/>
        <w:adjustRightInd w:val="0"/>
        <w:ind w:left="7788" w:firstLine="708"/>
        <w:jc w:val="center"/>
        <w:rPr>
          <w:rFonts w:ascii="Calibri" w:hAnsi="Calibri" w:cs="ArialNarrow,Italic"/>
          <w:i/>
          <w:iCs/>
          <w:sz w:val="16"/>
          <w:szCs w:val="16"/>
        </w:rPr>
      </w:pPr>
      <w:r w:rsidRPr="009E5628">
        <w:rPr>
          <w:rFonts w:ascii="Calibri" w:hAnsi="Calibri" w:cs="ArialNarrow,Italic"/>
          <w:i/>
          <w:iCs/>
          <w:sz w:val="16"/>
          <w:szCs w:val="16"/>
        </w:rPr>
        <w:t xml:space="preserve">               (upełnomocniony(</w:t>
      </w:r>
      <w:proofErr w:type="spellStart"/>
      <w:r w:rsidRPr="009E5628">
        <w:rPr>
          <w:rFonts w:ascii="Calibri" w:hAnsi="Calibri" w:cs="ArialNarrow,Italic"/>
          <w:i/>
          <w:iCs/>
          <w:sz w:val="16"/>
          <w:szCs w:val="16"/>
        </w:rPr>
        <w:t>ieni</w:t>
      </w:r>
      <w:proofErr w:type="spellEnd"/>
      <w:r w:rsidRPr="009E5628">
        <w:rPr>
          <w:rFonts w:ascii="Calibri" w:hAnsi="Calibri" w:cs="ArialNarrow,Italic"/>
          <w:i/>
          <w:iCs/>
          <w:sz w:val="16"/>
          <w:szCs w:val="16"/>
        </w:rPr>
        <w:t>) przedstawiciel(e) Wykonawcy)</w:t>
      </w:r>
    </w:p>
    <w:p w:rsidR="00EF4625" w:rsidRPr="0067178C" w:rsidRDefault="00EF4625"/>
    <w:sectPr w:rsidR="00EF4625" w:rsidRPr="0067178C" w:rsidSect="00AA28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CF2" w:rsidRDefault="00545CF2" w:rsidP="00343832">
      <w:pPr>
        <w:spacing w:after="0" w:line="240" w:lineRule="auto"/>
      </w:pPr>
      <w:r>
        <w:separator/>
      </w:r>
    </w:p>
  </w:endnote>
  <w:endnote w:type="continuationSeparator" w:id="0">
    <w:p w:rsidR="00545CF2" w:rsidRDefault="00545CF2" w:rsidP="0034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C9" w:rsidRDefault="00AA2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A0" w:rsidRDefault="00663F8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3BBABE" wp14:editId="1C77F3A0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7560000" cy="540000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4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600A0" w:rsidRPr="00E600A0" w:rsidRDefault="00E600A0" w:rsidP="00E600A0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600A0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>MIĘDZYNARODOWA AGENDA BADAWCZA ∙ LABORATORIUM MEDYCYNY 3P</w:t>
                          </w:r>
                        </w:p>
                        <w:p w:rsidR="00E600A0" w:rsidRPr="00E600A0" w:rsidRDefault="00E600A0" w:rsidP="00E600A0">
                          <w:pPr>
                            <w:jc w:val="center"/>
                          </w:pPr>
                          <w:r w:rsidRPr="00E600A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ul. M. Skłodowskiej-Curie </w:t>
                          </w:r>
                          <w:r w:rsidR="001A32A8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3a, 80-210 Gdańsk | 58 349 11 83</w:t>
                          </w:r>
                          <w:r w:rsidRPr="00E600A0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| mab@gumed.edu.pl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3BBAB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595.3pt;height:42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center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" stroked="f">
              <v:textbox>
                <w:txbxContent>
                  <w:p w:rsidR="00E600A0" w:rsidRPr="00E600A0" w:rsidRDefault="00E600A0" w:rsidP="00E600A0">
                    <w:pPr>
                      <w:jc w:val="center"/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</w:pPr>
                    <w:r w:rsidRPr="00E600A0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>MIĘDZYNARODOWA AGENDA BADAWCZA ∙ LABORATORIUM MEDYCYNY 3P</w:t>
                    </w:r>
                  </w:p>
                  <w:p w:rsidR="00E600A0" w:rsidRPr="00E600A0" w:rsidRDefault="00E600A0" w:rsidP="00E600A0">
                    <w:pPr>
                      <w:jc w:val="center"/>
                    </w:pPr>
                    <w:r w:rsidRPr="00E600A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ul. M. Skłodowskiej-Curie </w:t>
                    </w:r>
                    <w:r w:rsidR="001A32A8">
                      <w:rPr>
                        <w:rFonts w:ascii="Century Gothic" w:hAnsi="Century Gothic"/>
                        <w:sz w:val="16"/>
                        <w:szCs w:val="16"/>
                      </w:rPr>
                      <w:t>3a, 80-210 Gdańsk | 58 349 11 83</w:t>
                    </w:r>
                    <w:r w:rsidRPr="00E600A0"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| mab@gumed.edu.pl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06CFC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0B1E8AE" wp14:editId="343823AB">
          <wp:simplePos x="0" y="0"/>
          <wp:positionH relativeFrom="page">
            <wp:posOffset>485775</wp:posOffset>
          </wp:positionH>
          <wp:positionV relativeFrom="bottomMargin">
            <wp:align>center</wp:align>
          </wp:positionV>
          <wp:extent cx="828000" cy="2916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Obraz 4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29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6CF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8BD2365" wp14:editId="3B03D673">
          <wp:simplePos x="0" y="0"/>
          <wp:positionH relativeFrom="page">
            <wp:posOffset>6135370</wp:posOffset>
          </wp:positionH>
          <wp:positionV relativeFrom="bottomMargin">
            <wp:align>center</wp:align>
          </wp:positionV>
          <wp:extent cx="579600" cy="550800"/>
          <wp:effectExtent l="0" t="0" r="0" b="190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Obraz 4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55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600A0" w:rsidRDefault="00E600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C9" w:rsidRDefault="00AA2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CF2" w:rsidRDefault="00545CF2" w:rsidP="00343832">
      <w:pPr>
        <w:spacing w:after="0" w:line="240" w:lineRule="auto"/>
      </w:pPr>
      <w:r>
        <w:separator/>
      </w:r>
    </w:p>
  </w:footnote>
  <w:footnote w:type="continuationSeparator" w:id="0">
    <w:p w:rsidR="00545CF2" w:rsidRDefault="00545CF2" w:rsidP="0034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C9" w:rsidRDefault="00AA2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A0" w:rsidRDefault="00E600A0" w:rsidP="00AA28C9">
    <w:pPr>
      <w:pStyle w:val="Nagwek"/>
      <w:rPr>
        <w:noProof/>
        <w:lang w:eastAsia="pl-PL"/>
      </w:rPr>
    </w:pPr>
  </w:p>
  <w:p w:rsidR="00343832" w:rsidRPr="00343832" w:rsidRDefault="00C158A6" w:rsidP="0034383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833471</wp:posOffset>
          </wp:positionH>
          <wp:positionV relativeFrom="page">
            <wp:posOffset>288290</wp:posOffset>
          </wp:positionV>
          <wp:extent cx="4100400" cy="532800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UMed listownik MAB_PL_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0400" cy="53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C9" w:rsidRDefault="00AA2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32"/>
    <w:rsid w:val="000C41E6"/>
    <w:rsid w:val="0016272E"/>
    <w:rsid w:val="001A32A8"/>
    <w:rsid w:val="001E658D"/>
    <w:rsid w:val="00275519"/>
    <w:rsid w:val="002F6888"/>
    <w:rsid w:val="0031772F"/>
    <w:rsid w:val="00343832"/>
    <w:rsid w:val="0046792A"/>
    <w:rsid w:val="00475472"/>
    <w:rsid w:val="004F6E60"/>
    <w:rsid w:val="005021FF"/>
    <w:rsid w:val="00523AF2"/>
    <w:rsid w:val="00545CF2"/>
    <w:rsid w:val="00663F88"/>
    <w:rsid w:val="0067178C"/>
    <w:rsid w:val="00721D5D"/>
    <w:rsid w:val="00756BDA"/>
    <w:rsid w:val="008E01AC"/>
    <w:rsid w:val="00902D8A"/>
    <w:rsid w:val="00A06CFC"/>
    <w:rsid w:val="00AA28C9"/>
    <w:rsid w:val="00C158A6"/>
    <w:rsid w:val="00DA1ED3"/>
    <w:rsid w:val="00E3019D"/>
    <w:rsid w:val="00E442D2"/>
    <w:rsid w:val="00E600A0"/>
    <w:rsid w:val="00E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5FDBFE"/>
  <w15:chartTrackingRefBased/>
  <w15:docId w15:val="{18D99566-9895-4888-A291-6198C1D1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832"/>
  </w:style>
  <w:style w:type="paragraph" w:styleId="Stopka">
    <w:name w:val="footer"/>
    <w:basedOn w:val="Normalny"/>
    <w:link w:val="StopkaZnak"/>
    <w:uiPriority w:val="99"/>
    <w:unhideWhenUsed/>
    <w:rsid w:val="0034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832"/>
  </w:style>
  <w:style w:type="paragraph" w:styleId="Tekstdymka">
    <w:name w:val="Balloon Text"/>
    <w:basedOn w:val="Normalny"/>
    <w:link w:val="TekstdymkaZnak"/>
    <w:uiPriority w:val="99"/>
    <w:semiHidden/>
    <w:unhideWhenUsed/>
    <w:rsid w:val="00467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03AF-A375-4469-A9B1-ECE17242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Drzewiński</dc:creator>
  <cp:keywords/>
  <dc:description/>
  <cp:lastModifiedBy>Dagmara</cp:lastModifiedBy>
  <cp:revision>2</cp:revision>
  <cp:lastPrinted>2019-09-23T09:38:00Z</cp:lastPrinted>
  <dcterms:created xsi:type="dcterms:W3CDTF">2019-10-05T22:03:00Z</dcterms:created>
  <dcterms:modified xsi:type="dcterms:W3CDTF">2019-10-05T22:03:00Z</dcterms:modified>
</cp:coreProperties>
</file>