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Garamond" w:eastAsia="Times New Roman" w:hAnsi="Garamond" w:cs="Times New Roman"/>
          <w:b/>
          <w:noProof/>
          <w:sz w:val="28"/>
          <w:szCs w:val="24"/>
          <w:lang w:eastAsia="pl-PL"/>
        </w:rPr>
        <w:drawing>
          <wp:inline distT="0" distB="0" distL="0" distR="0" wp14:anchorId="1C20097C" wp14:editId="14189E76">
            <wp:extent cx="414020" cy="4311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a:ln>
                      <a:noFill/>
                    </a:ln>
                  </pic:spPr>
                </pic:pic>
              </a:graphicData>
            </a:graphic>
          </wp:inline>
        </w:drawing>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Times New Roman" w:eastAsia="Times New Roman" w:hAnsi="Times New Roman" w:cs="Times New Roman"/>
          <w:b/>
          <w:sz w:val="28"/>
          <w:szCs w:val="28"/>
          <w:lang w:eastAsia="pl-PL"/>
        </w:rPr>
        <w:t>KOMENDA  WOJEWÓDZKA  POLICJI</w:t>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z siedzibą w Radomiu</w:t>
      </w:r>
    </w:p>
    <w:p w:rsidR="0008470E" w:rsidRPr="00290641" w:rsidRDefault="0008470E" w:rsidP="0008470E">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Sekcja Zamówień Publicznych</w:t>
      </w:r>
    </w:p>
    <w:p w:rsidR="0008470E" w:rsidRPr="00290641" w:rsidRDefault="0008470E" w:rsidP="0008470E">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ab/>
        <w:t>ul. 11 Listopada 37/59,      26-600 Rado</w:t>
      </w:r>
      <w:r w:rsidR="0058082A">
        <w:rPr>
          <w:rFonts w:ascii="Times New Roman" w:eastAsia="Times New Roman" w:hAnsi="Times New Roman" w:cs="Times New Roman"/>
          <w:b/>
          <w:sz w:val="24"/>
          <w:szCs w:val="24"/>
          <w:lang w:eastAsia="pl-PL"/>
        </w:rPr>
        <w:t>m</w:t>
      </w:r>
    </w:p>
    <w:p w:rsidR="0008470E" w:rsidRPr="00C465EE" w:rsidRDefault="0008470E" w:rsidP="0008470E">
      <w:pPr>
        <w:tabs>
          <w:tab w:val="center" w:pos="4536"/>
          <w:tab w:val="right" w:pos="9072"/>
        </w:tabs>
        <w:spacing w:after="0" w:line="240" w:lineRule="auto"/>
        <w:jc w:val="both"/>
        <w:rPr>
          <w:rFonts w:ascii="Times New Roman" w:eastAsia="Times New Roman" w:hAnsi="Times New Roman" w:cs="Times New Roman"/>
          <w:sz w:val="20"/>
          <w:szCs w:val="20"/>
          <w:u w:val="single"/>
          <w:lang w:eastAsia="pl-PL"/>
        </w:rPr>
      </w:pPr>
      <w:r w:rsidRPr="00C465EE">
        <w:rPr>
          <w:rFonts w:ascii="Times New Roman" w:eastAsia="Times New Roman" w:hAnsi="Times New Roman" w:cs="Times New Roman"/>
          <w:sz w:val="20"/>
          <w:szCs w:val="20"/>
          <w:u w:val="single"/>
          <w:lang w:eastAsia="pl-PL"/>
        </w:rPr>
        <w:t>tel.</w:t>
      </w:r>
      <w:r w:rsidR="008D0A47">
        <w:rPr>
          <w:rFonts w:ascii="Times New Roman" w:eastAsia="Times New Roman" w:hAnsi="Times New Roman" w:cs="Times New Roman"/>
          <w:sz w:val="20"/>
          <w:szCs w:val="20"/>
          <w:u w:val="single"/>
          <w:lang w:eastAsia="pl-PL"/>
        </w:rPr>
        <w:t xml:space="preserve"> 47 701 31 03</w:t>
      </w:r>
      <w:r w:rsidR="008D0A47">
        <w:rPr>
          <w:rFonts w:ascii="Times New Roman" w:eastAsia="Times New Roman" w:hAnsi="Times New Roman" w:cs="Times New Roman"/>
          <w:sz w:val="20"/>
          <w:szCs w:val="20"/>
          <w:u w:val="single"/>
          <w:lang w:eastAsia="pl-PL"/>
        </w:rPr>
        <w:tab/>
      </w:r>
      <w:r w:rsidR="008D0A47">
        <w:rPr>
          <w:rFonts w:ascii="Times New Roman" w:eastAsia="Times New Roman" w:hAnsi="Times New Roman" w:cs="Times New Roman"/>
          <w:sz w:val="20"/>
          <w:szCs w:val="20"/>
          <w:u w:val="single"/>
          <w:lang w:eastAsia="pl-PL"/>
        </w:rPr>
        <w:tab/>
      </w:r>
    </w:p>
    <w:p w:rsidR="0008470E" w:rsidRDefault="0008470E" w:rsidP="0008470E">
      <w:pPr>
        <w:spacing w:after="0" w:line="240" w:lineRule="auto"/>
        <w:ind w:left="5664"/>
        <w:rPr>
          <w:rFonts w:ascii="Times New Roman" w:eastAsia="Times New Roman" w:hAnsi="Times New Roman" w:cs="Times New Roman"/>
          <w:sz w:val="20"/>
          <w:szCs w:val="20"/>
          <w:lang w:eastAsia="pl-PL"/>
        </w:rPr>
      </w:pPr>
    </w:p>
    <w:p w:rsidR="0008470E" w:rsidRPr="00355468" w:rsidRDefault="0008470E" w:rsidP="0008470E">
      <w:pPr>
        <w:spacing w:after="0" w:line="240" w:lineRule="auto"/>
        <w:ind w:left="5664"/>
        <w:rPr>
          <w:rFonts w:ascii="Times New Roman" w:eastAsia="Times New Roman" w:hAnsi="Times New Roman" w:cs="Times New Roman"/>
          <w:b/>
          <w:bCs/>
          <w:sz w:val="20"/>
          <w:szCs w:val="20"/>
          <w:lang w:eastAsia="pl-PL"/>
        </w:rPr>
      </w:pPr>
      <w:r w:rsidRPr="00355468">
        <w:rPr>
          <w:rFonts w:ascii="Times New Roman" w:eastAsia="Times New Roman" w:hAnsi="Times New Roman" w:cs="Times New Roman"/>
          <w:sz w:val="20"/>
          <w:szCs w:val="20"/>
          <w:lang w:eastAsia="pl-PL"/>
        </w:rPr>
        <w:t xml:space="preserve">   Radom, dnia </w:t>
      </w:r>
      <w:r w:rsidR="00C216E9">
        <w:rPr>
          <w:rFonts w:ascii="Times New Roman" w:eastAsia="Times New Roman" w:hAnsi="Times New Roman" w:cs="Times New Roman"/>
          <w:sz w:val="20"/>
          <w:szCs w:val="20"/>
          <w:lang w:eastAsia="pl-PL"/>
        </w:rPr>
        <w:t>04</w:t>
      </w:r>
      <w:r w:rsidR="003F2BFA">
        <w:rPr>
          <w:rFonts w:ascii="Times New Roman" w:eastAsia="Times New Roman" w:hAnsi="Times New Roman" w:cs="Times New Roman"/>
          <w:sz w:val="20"/>
          <w:szCs w:val="20"/>
          <w:lang w:eastAsia="pl-PL"/>
        </w:rPr>
        <w:t>.07.2024r.</w:t>
      </w:r>
    </w:p>
    <w:p w:rsidR="0008470E" w:rsidRPr="00355468" w:rsidRDefault="0008470E" w:rsidP="0008470E">
      <w:pPr>
        <w:spacing w:after="0" w:line="240" w:lineRule="auto"/>
        <w:ind w:left="5664"/>
        <w:rPr>
          <w:rFonts w:ascii="Times New Roman" w:eastAsia="Times New Roman" w:hAnsi="Times New Roman" w:cs="Times New Roman"/>
          <w:sz w:val="20"/>
          <w:szCs w:val="20"/>
          <w:lang w:eastAsia="pl-PL"/>
        </w:rPr>
      </w:pPr>
      <w:r w:rsidRPr="00355468">
        <w:rPr>
          <w:rFonts w:ascii="Times New Roman" w:eastAsia="Times New Roman" w:hAnsi="Times New Roman" w:cs="Times New Roman"/>
          <w:sz w:val="20"/>
          <w:szCs w:val="20"/>
          <w:lang w:eastAsia="pl-PL"/>
        </w:rPr>
        <w:t xml:space="preserve">   Egz. poj.</w:t>
      </w:r>
    </w:p>
    <w:p w:rsidR="0008470E" w:rsidRPr="00355468" w:rsidRDefault="0008470E" w:rsidP="0008470E">
      <w:pPr>
        <w:spacing w:after="0" w:line="240" w:lineRule="auto"/>
        <w:rPr>
          <w:rFonts w:ascii="Times New Roman" w:eastAsia="Times New Roman" w:hAnsi="Times New Roman" w:cs="Times New Roman"/>
          <w:bCs/>
          <w:sz w:val="20"/>
          <w:szCs w:val="20"/>
          <w:lang w:eastAsia="pl-PL"/>
        </w:rPr>
      </w:pPr>
    </w:p>
    <w:p w:rsidR="0008470E" w:rsidRDefault="008D0A47" w:rsidP="0008470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ZP – </w:t>
      </w:r>
      <w:r w:rsidR="003F2BFA">
        <w:rPr>
          <w:rFonts w:ascii="Times New Roman" w:eastAsia="Times New Roman" w:hAnsi="Times New Roman" w:cs="Times New Roman"/>
          <w:bCs/>
          <w:sz w:val="20"/>
          <w:szCs w:val="20"/>
          <w:lang w:eastAsia="pl-PL"/>
        </w:rPr>
        <w:t>1971/2024</w:t>
      </w:r>
    </w:p>
    <w:p w:rsidR="00A9342E" w:rsidRPr="00355468" w:rsidRDefault="00A9342E" w:rsidP="0008470E">
      <w:pPr>
        <w:spacing w:after="0" w:line="240" w:lineRule="auto"/>
        <w:rPr>
          <w:rFonts w:ascii="Times New Roman" w:eastAsia="Times New Roman" w:hAnsi="Times New Roman" w:cs="Times New Roman"/>
          <w:sz w:val="20"/>
          <w:szCs w:val="20"/>
          <w:lang w:eastAsia="pl-PL"/>
        </w:rPr>
      </w:pPr>
    </w:p>
    <w:p w:rsidR="0008470E" w:rsidRPr="007F5C45" w:rsidRDefault="0008470E" w:rsidP="0008470E">
      <w:pPr>
        <w:spacing w:after="0" w:line="240" w:lineRule="auto"/>
        <w:rPr>
          <w:rFonts w:ascii="Times New Roman" w:eastAsia="Times New Roman" w:hAnsi="Times New Roman" w:cs="Times New Roman"/>
          <w:sz w:val="32"/>
          <w:szCs w:val="32"/>
          <w:lang w:eastAsia="pl-PL"/>
        </w:rPr>
      </w:pP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36"/>
          <w:szCs w:val="36"/>
          <w:lang w:eastAsia="pl-PL"/>
        </w:rPr>
        <w:tab/>
      </w:r>
      <w:r w:rsidRPr="007F5C45">
        <w:rPr>
          <w:rFonts w:ascii="Times New Roman" w:eastAsia="Times New Roman" w:hAnsi="Times New Roman" w:cs="Times New Roman"/>
          <w:sz w:val="32"/>
          <w:szCs w:val="32"/>
          <w:lang w:eastAsia="pl-PL"/>
        </w:rPr>
        <w:t xml:space="preserve"> </w:t>
      </w:r>
      <w:r w:rsidRPr="007F5C45">
        <w:rPr>
          <w:rFonts w:ascii="Times New Roman" w:eastAsia="Times New Roman" w:hAnsi="Times New Roman" w:cs="Times New Roman"/>
          <w:b/>
          <w:bCs/>
          <w:sz w:val="32"/>
          <w:szCs w:val="32"/>
          <w:lang w:eastAsia="pl-PL"/>
        </w:rPr>
        <w:t>WYKONAWCY</w:t>
      </w:r>
    </w:p>
    <w:p w:rsidR="0008470E" w:rsidRPr="001A5BDD" w:rsidRDefault="0008470E" w:rsidP="0008470E">
      <w:pPr>
        <w:spacing w:after="0" w:line="240" w:lineRule="auto"/>
        <w:rPr>
          <w:rFonts w:ascii="Times New Roman" w:eastAsia="Times New Roman" w:hAnsi="Times New Roman" w:cs="Times New Roman"/>
          <w:sz w:val="40"/>
          <w:szCs w:val="40"/>
          <w:lang w:eastAsia="pl-PL"/>
        </w:rPr>
      </w:pPr>
    </w:p>
    <w:p w:rsidR="0008470E" w:rsidRDefault="0008470E" w:rsidP="0008470E">
      <w:pPr>
        <w:spacing w:after="0" w:line="276" w:lineRule="auto"/>
        <w:jc w:val="center"/>
        <w:rPr>
          <w:rFonts w:ascii="Times New Roman" w:eastAsia="Times New Roman" w:hAnsi="Times New Roman" w:cs="Times New Roman"/>
          <w:b/>
          <w:bCs/>
          <w:sz w:val="24"/>
          <w:szCs w:val="24"/>
          <w:lang w:eastAsia="pl-PL"/>
        </w:rPr>
      </w:pPr>
      <w:r w:rsidRPr="004F6505">
        <w:rPr>
          <w:rFonts w:ascii="Times New Roman" w:eastAsia="Times New Roman" w:hAnsi="Times New Roman" w:cs="Times New Roman"/>
          <w:b/>
          <w:bCs/>
          <w:sz w:val="24"/>
          <w:szCs w:val="24"/>
          <w:lang w:eastAsia="pl-PL"/>
        </w:rPr>
        <w:t xml:space="preserve">Informacja </w:t>
      </w:r>
      <w:r w:rsidR="00CC7500">
        <w:rPr>
          <w:rFonts w:ascii="Times New Roman" w:eastAsia="Times New Roman" w:hAnsi="Times New Roman" w:cs="Times New Roman"/>
          <w:b/>
          <w:bCs/>
          <w:sz w:val="24"/>
          <w:szCs w:val="24"/>
          <w:lang w:eastAsia="pl-PL"/>
        </w:rPr>
        <w:t xml:space="preserve"> z wyjaśnieniami treści SWZ</w:t>
      </w:r>
    </w:p>
    <w:p w:rsidR="00FA56FD" w:rsidRDefault="00FA56FD" w:rsidP="00FA56FD">
      <w:pPr>
        <w:tabs>
          <w:tab w:val="left" w:pos="284"/>
        </w:tabs>
        <w:suppressAutoHyphens/>
        <w:spacing w:after="0"/>
        <w:jc w:val="both"/>
        <w:rPr>
          <w:rFonts w:ascii="Times New Roman" w:hAnsi="Times New Roman" w:cs="Times New Roman"/>
          <w:b/>
        </w:rPr>
      </w:pPr>
      <w:r w:rsidRPr="00227953">
        <w:rPr>
          <w:rFonts w:ascii="Times New Roman" w:hAnsi="Times New Roman" w:cs="Times New Roman"/>
          <w:b/>
        </w:rPr>
        <w:t xml:space="preserve">Przedmiot zamówienia: Dzierżawa elementów infrastruktury telekomunikacyjnej oraz najmu urządzeń telekomunikacyjnych   niezbędnych dla sprawnego funkcjonowania jednostek organizacyjnych  Policji podległych KWP </w:t>
      </w:r>
      <w:proofErr w:type="spellStart"/>
      <w:r w:rsidRPr="00227953">
        <w:rPr>
          <w:rFonts w:ascii="Times New Roman" w:hAnsi="Times New Roman" w:cs="Times New Roman"/>
          <w:b/>
        </w:rPr>
        <w:t>zs</w:t>
      </w:r>
      <w:proofErr w:type="spellEnd"/>
      <w:r w:rsidRPr="00227953">
        <w:rPr>
          <w:rFonts w:ascii="Times New Roman" w:hAnsi="Times New Roman" w:cs="Times New Roman"/>
          <w:b/>
        </w:rPr>
        <w:t>. w Radomiu</w:t>
      </w:r>
      <w:r w:rsidRPr="00227953">
        <w:rPr>
          <w:rFonts w:ascii="Times New Roman" w:hAnsi="Times New Roman" w:cs="Times New Roman"/>
          <w:b/>
          <w:bCs/>
        </w:rPr>
        <w:t xml:space="preserve"> (dzierżawa cyfrowych i analogowych łączy telekomunikacyjnych)</w:t>
      </w:r>
      <w:r>
        <w:rPr>
          <w:rFonts w:ascii="Times New Roman" w:hAnsi="Times New Roman" w:cs="Times New Roman"/>
          <w:b/>
          <w:bCs/>
        </w:rPr>
        <w:t xml:space="preserve">                      </w:t>
      </w:r>
      <w:r w:rsidRPr="00227953">
        <w:rPr>
          <w:rFonts w:ascii="Times New Roman" w:hAnsi="Times New Roman" w:cs="Times New Roman"/>
          <w:b/>
        </w:rPr>
        <w:t xml:space="preserve">Nr </w:t>
      </w:r>
      <w:proofErr w:type="spellStart"/>
      <w:r w:rsidRPr="00227953">
        <w:rPr>
          <w:rFonts w:ascii="Times New Roman" w:hAnsi="Times New Roman" w:cs="Times New Roman"/>
          <w:b/>
        </w:rPr>
        <w:t>spr</w:t>
      </w:r>
      <w:proofErr w:type="spellEnd"/>
      <w:r w:rsidRPr="00227953">
        <w:rPr>
          <w:rFonts w:ascii="Times New Roman" w:hAnsi="Times New Roman" w:cs="Times New Roman"/>
          <w:b/>
        </w:rPr>
        <w:t xml:space="preserve">. 31/24 </w:t>
      </w:r>
    </w:p>
    <w:p w:rsidR="00CC7500" w:rsidRDefault="00CC7500" w:rsidP="000125E3">
      <w:pPr>
        <w:spacing w:after="0" w:line="240" w:lineRule="auto"/>
        <w:ind w:left="2832" w:right="283" w:firstLine="708"/>
        <w:rPr>
          <w:rFonts w:ascii="Times New Roman" w:eastAsia="Times New Roman" w:hAnsi="Times New Roman" w:cs="Times New Roman"/>
          <w:b/>
          <w:bCs/>
          <w:sz w:val="24"/>
          <w:szCs w:val="24"/>
          <w:lang w:eastAsia="pl-PL"/>
        </w:rPr>
      </w:pPr>
    </w:p>
    <w:p w:rsidR="00FA56FD" w:rsidRDefault="00FA56FD" w:rsidP="000125E3">
      <w:pPr>
        <w:spacing w:after="0" w:line="240" w:lineRule="auto"/>
        <w:ind w:left="2832" w:right="283" w:firstLine="708"/>
        <w:rPr>
          <w:rFonts w:ascii="Times New Roman" w:eastAsia="Times New Roman" w:hAnsi="Times New Roman" w:cs="Times New Roman"/>
          <w:b/>
          <w:bCs/>
          <w:sz w:val="24"/>
          <w:szCs w:val="24"/>
          <w:u w:val="single"/>
          <w:lang w:eastAsia="pl-PL"/>
        </w:rPr>
      </w:pPr>
    </w:p>
    <w:p w:rsidR="000125E3" w:rsidRPr="00296177" w:rsidRDefault="000125E3" w:rsidP="000125E3">
      <w:pPr>
        <w:spacing w:after="0" w:line="240" w:lineRule="auto"/>
        <w:jc w:val="both"/>
        <w:rPr>
          <w:rFonts w:ascii="Times New Roman" w:eastAsiaTheme="minorEastAsia" w:hAnsi="Times New Roman" w:cs="Times New Roman"/>
          <w:b/>
          <w:sz w:val="20"/>
          <w:szCs w:val="20"/>
          <w:lang w:eastAsia="pl-PL"/>
        </w:rPr>
      </w:pPr>
    </w:p>
    <w:p w:rsidR="0008470E" w:rsidRPr="00F91EF5" w:rsidRDefault="0076471E" w:rsidP="000C6C15">
      <w:pPr>
        <w:spacing w:after="0" w:line="240" w:lineRule="auto"/>
        <w:jc w:val="both"/>
        <w:rPr>
          <w:rFonts w:ascii="Times New Roman" w:eastAsiaTheme="minorEastAsia" w:hAnsi="Times New Roman" w:cs="Times New Roman"/>
          <w:lang w:eastAsia="pl-PL"/>
        </w:rPr>
      </w:pPr>
      <w:r w:rsidRPr="00F91EF5">
        <w:rPr>
          <w:rFonts w:ascii="Times New Roman" w:eastAsiaTheme="minorEastAsia" w:hAnsi="Times New Roman" w:cs="Times New Roman"/>
          <w:b/>
          <w:lang w:eastAsia="pl-PL"/>
        </w:rPr>
        <w:t xml:space="preserve">Zamawiający - </w:t>
      </w:r>
      <w:r w:rsidR="000125E3" w:rsidRPr="00F91EF5">
        <w:rPr>
          <w:rFonts w:ascii="Times New Roman" w:eastAsiaTheme="minorEastAsia" w:hAnsi="Times New Roman" w:cs="Times New Roman"/>
          <w:b/>
          <w:lang w:eastAsia="pl-PL"/>
        </w:rPr>
        <w:t>Komenda Wojewódzka Policji z</w:t>
      </w:r>
      <w:r w:rsidR="00C465EE" w:rsidRPr="00F91EF5">
        <w:rPr>
          <w:rFonts w:ascii="Times New Roman" w:eastAsiaTheme="minorEastAsia" w:hAnsi="Times New Roman" w:cs="Times New Roman"/>
          <w:b/>
          <w:lang w:eastAsia="pl-PL"/>
        </w:rPr>
        <w:t xml:space="preserve"> </w:t>
      </w:r>
      <w:r w:rsidR="000125E3" w:rsidRPr="00F91EF5">
        <w:rPr>
          <w:rFonts w:ascii="Times New Roman" w:eastAsiaTheme="minorEastAsia" w:hAnsi="Times New Roman" w:cs="Times New Roman"/>
          <w:b/>
          <w:lang w:eastAsia="pl-PL"/>
        </w:rPr>
        <w:t>s</w:t>
      </w:r>
      <w:r w:rsidR="00C465EE" w:rsidRPr="00F91EF5">
        <w:rPr>
          <w:rFonts w:ascii="Times New Roman" w:eastAsiaTheme="minorEastAsia" w:hAnsi="Times New Roman" w:cs="Times New Roman"/>
          <w:b/>
          <w:lang w:eastAsia="pl-PL"/>
        </w:rPr>
        <w:t>iedzibą</w:t>
      </w:r>
      <w:r w:rsidR="000125E3" w:rsidRPr="00F91EF5">
        <w:rPr>
          <w:rFonts w:ascii="Times New Roman" w:eastAsiaTheme="minorEastAsia" w:hAnsi="Times New Roman" w:cs="Times New Roman"/>
          <w:b/>
          <w:lang w:eastAsia="pl-PL"/>
        </w:rPr>
        <w:t xml:space="preserve"> w Radomiu</w:t>
      </w:r>
      <w:r w:rsidR="000125E3" w:rsidRPr="00F91EF5">
        <w:rPr>
          <w:rFonts w:ascii="Times New Roman" w:eastAsiaTheme="minorEastAsia" w:hAnsi="Times New Roman" w:cs="Times New Roman"/>
          <w:lang w:eastAsia="pl-PL"/>
        </w:rPr>
        <w:t xml:space="preserve">, </w:t>
      </w:r>
      <w:r w:rsidR="00C465EE" w:rsidRPr="00F91EF5">
        <w:rPr>
          <w:rFonts w:ascii="Times New Roman" w:eastAsiaTheme="minorEastAsia" w:hAnsi="Times New Roman" w:cs="Times New Roman"/>
          <w:lang w:eastAsia="pl-PL"/>
        </w:rPr>
        <w:t xml:space="preserve">działając na podstawie art. </w:t>
      </w:r>
      <w:r w:rsidR="00BC7683" w:rsidRPr="00F91EF5">
        <w:rPr>
          <w:rFonts w:ascii="Times New Roman" w:hAnsi="Times New Roman" w:cs="Times New Roman"/>
        </w:rPr>
        <w:t>135 ust. 2</w:t>
      </w:r>
      <w:r w:rsidR="00BC7683" w:rsidRPr="00F91EF5">
        <w:rPr>
          <w:rFonts w:ascii="Times New Roman" w:eastAsiaTheme="minorEastAsia" w:hAnsi="Times New Roman" w:cs="Times New Roman"/>
          <w:lang w:eastAsia="pl-PL"/>
        </w:rPr>
        <w:t xml:space="preserve">  </w:t>
      </w:r>
      <w:r w:rsidR="000125E3" w:rsidRPr="00F91EF5">
        <w:rPr>
          <w:rFonts w:ascii="Times New Roman" w:eastAsiaTheme="minorEastAsia" w:hAnsi="Times New Roman" w:cs="Times New Roman"/>
          <w:lang w:eastAsia="pl-PL"/>
        </w:rPr>
        <w:t xml:space="preserve">ustawy </w:t>
      </w:r>
      <w:r w:rsidR="00C465EE" w:rsidRPr="00F91EF5">
        <w:rPr>
          <w:rFonts w:ascii="Times New Roman" w:eastAsiaTheme="minorEastAsia" w:hAnsi="Times New Roman" w:cs="Times New Roman"/>
          <w:lang w:eastAsia="pl-PL"/>
        </w:rPr>
        <w:t xml:space="preserve">z dnia 11 września </w:t>
      </w:r>
      <w:r w:rsidR="000125E3" w:rsidRPr="00F91EF5">
        <w:rPr>
          <w:rFonts w:ascii="Times New Roman" w:eastAsiaTheme="minorEastAsia" w:hAnsi="Times New Roman" w:cs="Times New Roman"/>
          <w:lang w:eastAsia="pl-PL"/>
        </w:rPr>
        <w:t>2019</w:t>
      </w:r>
      <w:r w:rsidR="000C6C15" w:rsidRPr="00F91EF5">
        <w:rPr>
          <w:rFonts w:ascii="Times New Roman" w:eastAsiaTheme="minorEastAsia" w:hAnsi="Times New Roman" w:cs="Times New Roman"/>
          <w:lang w:eastAsia="pl-PL"/>
        </w:rPr>
        <w:t xml:space="preserve"> </w:t>
      </w:r>
      <w:r w:rsidR="000125E3" w:rsidRPr="00F91EF5">
        <w:rPr>
          <w:rFonts w:ascii="Times New Roman" w:eastAsiaTheme="minorEastAsia" w:hAnsi="Times New Roman" w:cs="Times New Roman"/>
          <w:lang w:eastAsia="pl-PL"/>
        </w:rPr>
        <w:t xml:space="preserve">r. </w:t>
      </w:r>
      <w:r w:rsidR="00B9735F" w:rsidRPr="00F91EF5">
        <w:rPr>
          <w:rFonts w:ascii="Times New Roman" w:eastAsiaTheme="minorEastAsia" w:hAnsi="Times New Roman" w:cs="Times New Roman"/>
          <w:lang w:eastAsia="pl-PL"/>
        </w:rPr>
        <w:t xml:space="preserve">Prawo zamówień publicznych </w:t>
      </w:r>
      <w:r w:rsidR="00126FBC" w:rsidRPr="00F91EF5">
        <w:rPr>
          <w:rFonts w:ascii="Times New Roman" w:eastAsiaTheme="minorEastAsia" w:hAnsi="Times New Roman" w:cs="Times New Roman"/>
          <w:lang w:eastAsia="pl-PL"/>
        </w:rPr>
        <w:t>(</w:t>
      </w:r>
      <w:proofErr w:type="spellStart"/>
      <w:r w:rsidR="00126FBC" w:rsidRPr="00F91EF5">
        <w:rPr>
          <w:rFonts w:ascii="Times New Roman" w:eastAsiaTheme="minorEastAsia" w:hAnsi="Times New Roman" w:cs="Times New Roman"/>
          <w:lang w:eastAsia="pl-PL"/>
        </w:rPr>
        <w:t>t.j</w:t>
      </w:r>
      <w:proofErr w:type="spellEnd"/>
      <w:r w:rsidR="00126FBC" w:rsidRPr="00F91EF5">
        <w:rPr>
          <w:rFonts w:ascii="Times New Roman" w:eastAsiaTheme="minorEastAsia" w:hAnsi="Times New Roman" w:cs="Times New Roman"/>
          <w:lang w:eastAsia="pl-PL"/>
        </w:rPr>
        <w:t xml:space="preserve">. </w:t>
      </w:r>
      <w:r w:rsidR="00126FBC" w:rsidRPr="00F91EF5">
        <w:rPr>
          <w:rFonts w:ascii="Times New Roman" w:eastAsiaTheme="minorEastAsia" w:hAnsi="Times New Roman" w:cs="Times New Roman"/>
          <w:bCs/>
          <w:lang w:eastAsia="pl-PL"/>
        </w:rPr>
        <w:t xml:space="preserve">Dz. U z </w:t>
      </w:r>
      <w:r w:rsidR="00FA56FD">
        <w:rPr>
          <w:rFonts w:ascii="Times New Roman" w:eastAsiaTheme="minorEastAsia" w:hAnsi="Times New Roman" w:cs="Times New Roman"/>
          <w:bCs/>
          <w:lang w:eastAsia="pl-PL"/>
        </w:rPr>
        <w:t>2023</w:t>
      </w:r>
      <w:r w:rsidR="000125E3" w:rsidRPr="00F91EF5">
        <w:rPr>
          <w:rFonts w:ascii="Times New Roman" w:eastAsiaTheme="minorEastAsia" w:hAnsi="Times New Roman" w:cs="Times New Roman"/>
          <w:bCs/>
          <w:lang w:eastAsia="pl-PL"/>
        </w:rPr>
        <w:t xml:space="preserve"> </w:t>
      </w:r>
      <w:r w:rsidR="00AF3B1F" w:rsidRPr="00F91EF5">
        <w:rPr>
          <w:rFonts w:ascii="Times New Roman" w:eastAsiaTheme="minorEastAsia" w:hAnsi="Times New Roman" w:cs="Times New Roman"/>
          <w:bCs/>
          <w:lang w:eastAsia="pl-PL"/>
        </w:rPr>
        <w:t xml:space="preserve">r., </w:t>
      </w:r>
      <w:r w:rsidR="000125E3" w:rsidRPr="00F91EF5">
        <w:rPr>
          <w:rFonts w:ascii="Times New Roman" w:eastAsiaTheme="minorEastAsia" w:hAnsi="Times New Roman" w:cs="Times New Roman"/>
          <w:bCs/>
          <w:lang w:eastAsia="pl-PL"/>
        </w:rPr>
        <w:t>poz.</w:t>
      </w:r>
      <w:r w:rsidR="00CE72F1" w:rsidRPr="00F91EF5">
        <w:rPr>
          <w:rFonts w:ascii="Times New Roman" w:eastAsiaTheme="minorEastAsia" w:hAnsi="Times New Roman" w:cs="Times New Roman"/>
          <w:bCs/>
          <w:lang w:eastAsia="pl-PL"/>
        </w:rPr>
        <w:t xml:space="preserve"> </w:t>
      </w:r>
      <w:r w:rsidR="00126FBC" w:rsidRPr="00F91EF5">
        <w:rPr>
          <w:rFonts w:ascii="Times New Roman" w:eastAsiaTheme="minorEastAsia" w:hAnsi="Times New Roman" w:cs="Times New Roman"/>
          <w:bCs/>
          <w:lang w:eastAsia="pl-PL"/>
        </w:rPr>
        <w:t>1</w:t>
      </w:r>
      <w:r w:rsidR="00FA56FD">
        <w:rPr>
          <w:rFonts w:ascii="Times New Roman" w:eastAsiaTheme="minorEastAsia" w:hAnsi="Times New Roman" w:cs="Times New Roman"/>
          <w:bCs/>
          <w:lang w:eastAsia="pl-PL"/>
        </w:rPr>
        <w:t>605</w:t>
      </w:r>
      <w:r w:rsidR="007A50BC" w:rsidRPr="00F91EF5">
        <w:rPr>
          <w:rFonts w:ascii="Times New Roman" w:eastAsiaTheme="minorEastAsia" w:hAnsi="Times New Roman" w:cs="Times New Roman"/>
          <w:bCs/>
          <w:lang w:eastAsia="pl-PL"/>
        </w:rPr>
        <w:t xml:space="preserve"> </w:t>
      </w:r>
      <w:r w:rsidR="00126FBC" w:rsidRPr="00F91EF5">
        <w:rPr>
          <w:rFonts w:ascii="Times New Roman" w:eastAsiaTheme="minorEastAsia" w:hAnsi="Times New Roman" w:cs="Times New Roman"/>
          <w:bCs/>
          <w:lang w:eastAsia="pl-PL"/>
        </w:rPr>
        <w:t xml:space="preserve">z </w:t>
      </w:r>
      <w:proofErr w:type="spellStart"/>
      <w:r w:rsidR="00126FBC" w:rsidRPr="00F91EF5">
        <w:rPr>
          <w:rFonts w:ascii="Times New Roman" w:eastAsiaTheme="minorEastAsia" w:hAnsi="Times New Roman" w:cs="Times New Roman"/>
          <w:bCs/>
          <w:lang w:eastAsia="pl-PL"/>
        </w:rPr>
        <w:t>póź</w:t>
      </w:r>
      <w:proofErr w:type="spellEnd"/>
      <w:r w:rsidR="00126FBC" w:rsidRPr="00F91EF5">
        <w:rPr>
          <w:rFonts w:ascii="Times New Roman" w:eastAsiaTheme="minorEastAsia" w:hAnsi="Times New Roman" w:cs="Times New Roman"/>
          <w:bCs/>
          <w:lang w:eastAsia="pl-PL"/>
        </w:rPr>
        <w:t>. zm.</w:t>
      </w:r>
      <w:r w:rsidR="000125E3" w:rsidRPr="00F91EF5">
        <w:rPr>
          <w:rFonts w:ascii="Times New Roman" w:eastAsiaTheme="minorEastAsia" w:hAnsi="Times New Roman" w:cs="Times New Roman"/>
          <w:bCs/>
          <w:lang w:eastAsia="pl-PL"/>
        </w:rPr>
        <w:t>)</w:t>
      </w:r>
      <w:r w:rsidR="001001D6" w:rsidRPr="00F91EF5">
        <w:rPr>
          <w:rFonts w:ascii="Times New Roman" w:eastAsiaTheme="minorEastAsia" w:hAnsi="Times New Roman" w:cs="Times New Roman"/>
          <w:bCs/>
          <w:lang w:eastAsia="pl-PL"/>
        </w:rPr>
        <w:t xml:space="preserve"> </w:t>
      </w:r>
      <w:r w:rsidR="001C428F" w:rsidRPr="00F91EF5">
        <w:rPr>
          <w:rFonts w:ascii="Times New Roman" w:eastAsiaTheme="minorEastAsia" w:hAnsi="Times New Roman" w:cs="Times New Roman"/>
          <w:lang w:eastAsia="pl-PL"/>
        </w:rPr>
        <w:t>udziela odpowiedzi na pytania do treści SWZ wniesione w prze</w:t>
      </w:r>
      <w:r w:rsidR="001001D6" w:rsidRPr="00F91EF5">
        <w:rPr>
          <w:rFonts w:ascii="Times New Roman" w:eastAsiaTheme="minorEastAsia" w:hAnsi="Times New Roman" w:cs="Times New Roman"/>
          <w:lang w:eastAsia="pl-PL"/>
        </w:rPr>
        <w:t>dmiotowym postę</w:t>
      </w:r>
      <w:r w:rsidR="001C428F" w:rsidRPr="00F91EF5">
        <w:rPr>
          <w:rFonts w:ascii="Times New Roman" w:eastAsiaTheme="minorEastAsia" w:hAnsi="Times New Roman" w:cs="Times New Roman"/>
          <w:lang w:eastAsia="pl-PL"/>
        </w:rPr>
        <w:t>powaniu</w:t>
      </w:r>
      <w:r w:rsidR="00C465EE" w:rsidRPr="00F91EF5">
        <w:rPr>
          <w:rFonts w:ascii="Times New Roman" w:eastAsiaTheme="minorEastAsia" w:hAnsi="Times New Roman" w:cs="Times New Roman"/>
          <w:lang w:eastAsia="pl-PL"/>
        </w:rPr>
        <w:t>:</w:t>
      </w:r>
    </w:p>
    <w:p w:rsidR="009564DC" w:rsidRPr="00F91EF5" w:rsidRDefault="009564DC" w:rsidP="001001D6">
      <w:pPr>
        <w:spacing w:after="0" w:line="240" w:lineRule="auto"/>
        <w:jc w:val="both"/>
        <w:rPr>
          <w:rFonts w:ascii="Times New Roman" w:eastAsiaTheme="minorEastAsia" w:hAnsi="Times New Roman" w:cs="Times New Roman"/>
          <w:lang w:eastAsia="pl-PL"/>
        </w:rPr>
      </w:pPr>
    </w:p>
    <w:p w:rsidR="00BC7683" w:rsidRDefault="00BC7683" w:rsidP="0008470E">
      <w:pPr>
        <w:spacing w:after="0" w:line="240" w:lineRule="auto"/>
        <w:jc w:val="both"/>
        <w:rPr>
          <w:rFonts w:ascii="Arial Black" w:eastAsiaTheme="minorEastAsia" w:hAnsi="Arial Black"/>
          <w:b/>
          <w:color w:val="FF0000"/>
          <w:u w:val="single"/>
          <w:lang w:eastAsia="pl-PL"/>
        </w:rPr>
      </w:pPr>
    </w:p>
    <w:p w:rsidR="00FA56FD" w:rsidRPr="00E45779" w:rsidRDefault="00FA56FD" w:rsidP="00FA56FD">
      <w:pPr>
        <w:jc w:val="both"/>
        <w:rPr>
          <w:rFonts w:ascii="Times New Roman" w:hAnsi="Times New Roman" w:cs="Times New Roman"/>
          <w:b/>
          <w:u w:val="single"/>
        </w:rPr>
      </w:pPr>
      <w:r>
        <w:rPr>
          <w:rFonts w:ascii="Times New Roman" w:hAnsi="Times New Roman" w:cs="Times New Roman"/>
          <w:b/>
          <w:u w:val="single"/>
        </w:rPr>
        <w:t>P</w:t>
      </w:r>
      <w:r w:rsidRPr="00E45779">
        <w:rPr>
          <w:rFonts w:ascii="Times New Roman" w:hAnsi="Times New Roman" w:cs="Times New Roman"/>
          <w:b/>
          <w:u w:val="single"/>
        </w:rPr>
        <w:t>ytanie</w:t>
      </w:r>
      <w:r>
        <w:rPr>
          <w:rFonts w:ascii="Times New Roman" w:hAnsi="Times New Roman" w:cs="Times New Roman"/>
          <w:b/>
          <w:u w:val="single"/>
        </w:rPr>
        <w:t xml:space="preserve"> </w:t>
      </w:r>
      <w:r w:rsidRPr="00E45779">
        <w:rPr>
          <w:rFonts w:ascii="Times New Roman" w:hAnsi="Times New Roman" w:cs="Times New Roman"/>
          <w:b/>
          <w:u w:val="single"/>
        </w:rPr>
        <w:t>1:</w:t>
      </w:r>
    </w:p>
    <w:p w:rsidR="00FA56FD" w:rsidRDefault="00FA56FD" w:rsidP="00FA56FD">
      <w:pPr>
        <w:jc w:val="both"/>
        <w:rPr>
          <w:rFonts w:ascii="Times New Roman" w:hAnsi="Times New Roman" w:cs="Times New Roman"/>
        </w:rPr>
      </w:pPr>
      <w:r w:rsidRPr="0058607D">
        <w:rPr>
          <w:rFonts w:ascii="Times New Roman" w:hAnsi="Times New Roman" w:cs="Times New Roman"/>
        </w:rPr>
        <w:t>Zamawiający w par. 4 ust. 1 wyznacza termin realizacji na dzień 02.10.2024 r. przez okres 24 m-</w:t>
      </w:r>
      <w:proofErr w:type="spellStart"/>
      <w:r w:rsidRPr="0058607D">
        <w:rPr>
          <w:rFonts w:ascii="Times New Roman" w:hAnsi="Times New Roman" w:cs="Times New Roman"/>
        </w:rPr>
        <w:t>cy</w:t>
      </w:r>
      <w:proofErr w:type="spellEnd"/>
      <w:r w:rsidRPr="0058607D">
        <w:rPr>
          <w:rFonts w:ascii="Times New Roman" w:hAnsi="Times New Roman" w:cs="Times New Roman"/>
        </w:rPr>
        <w:t xml:space="preserve">. </w:t>
      </w:r>
      <w:r>
        <w:rPr>
          <w:rFonts w:ascii="Times New Roman" w:hAnsi="Times New Roman" w:cs="Times New Roman"/>
        </w:rPr>
        <w:br/>
      </w:r>
      <w:r w:rsidRPr="0058607D">
        <w:rPr>
          <w:rFonts w:ascii="Times New Roman" w:hAnsi="Times New Roman" w:cs="Times New Roman"/>
        </w:rPr>
        <w:t>W pierwszej kolejności należy zauważyć, iż termin rozpoczęcie świadczenia usług poprzez wskazanie na konkretną datę kalendarzową w istotny sposób narusza wyrażoną zasadę uczciwej konkurencji. Wskazanie konkretnej kalendarzowej daty rozpoczęcia realizacji umowy, bez wiedzy uczestników postępowania na temat faktycznego terminu zakończenia postępowania i tym samym bez wiedzy na temat</w:t>
      </w:r>
      <w:r>
        <w:rPr>
          <w:rFonts w:ascii="Times New Roman" w:hAnsi="Times New Roman" w:cs="Times New Roman"/>
        </w:rPr>
        <w:t xml:space="preserve"> terminu podpisania umowy, jest</w:t>
      </w:r>
      <w:r w:rsidRPr="0058607D">
        <w:rPr>
          <w:rFonts w:ascii="Times New Roman" w:hAnsi="Times New Roman" w:cs="Times New Roman"/>
        </w:rPr>
        <w:t xml:space="preserve"> zdaniem Wykonawcy, niedopuszczalne. Takie działanie Zamawiającego pozbawia wykonawców wiedzy na temat okresu, jakim będą dysponować na przygotowanie się do rozpoczęcia świadczenia usług (nie jest znany termin podpisania umowy). Działanie to naraża wykonawców na ryzyko zapłaty odszkodowania (ewentualnych kar umownych) wskutek zbyt krótkiego czasu na wykonanie czynności związanych z uruchomieniem usług. Argumentację taką podziela również Krajowa Izba Odwoławcza min. w wyrokach dotyczących analogicznych sytuacji sygn. akt: KIO 2411/13, KIO 2316/13, KIO 2163/13, KIO 1876/13. Dodatkowo należy zwrócić uwagę na fakt, że kwestia ustalania realnych terminów wykonania zamówienia była przedmiotem wyroku Zespołu Arbitrów UZP z dnia 27.02.2006 roku (znak: UZP/ZO/0-533/06 </w:t>
      </w:r>
      <w:r>
        <w:rPr>
          <w:rFonts w:ascii="Times New Roman" w:hAnsi="Times New Roman" w:cs="Times New Roman"/>
        </w:rPr>
        <w:t>-</w:t>
      </w:r>
      <w:r w:rsidRPr="0058607D">
        <w:rPr>
          <w:rFonts w:ascii="Times New Roman" w:hAnsi="Times New Roman" w:cs="Times New Roman"/>
        </w:rPr>
        <w:t xml:space="preserve"> źródło: LEX nr 181920). Teza ww. wyroku brzmi: Określenie terminu rozpoczęcia realizacji usług powinno uwzględniać skalę przedsięwzięcia oraz uwarunkowania techniczne i organizacyjne świadczenia usługi. Zbyt krótki termin nie może stanowić bariery uniemożliwiającej złożenie oferty konkurencyjnej wobec dotychczasowego wykonawcy (…) W sprawie cytowanej powyżej przeprowadzona została przez Prezesa Urzędu Zamówień Publicznych kontrola udzielanego zamówienia. Stwierdzono wady polegające na niewłaściwym wyznaczeniu terminu realizacji zamówienia. Postępowanie obarczone </w:t>
      </w:r>
      <w:r w:rsidRPr="0058607D">
        <w:rPr>
          <w:rFonts w:ascii="Times New Roman" w:hAnsi="Times New Roman" w:cs="Times New Roman"/>
        </w:rPr>
        <w:lastRenderedPageBreak/>
        <w:t xml:space="preserve">wadą unieważniono. Rozpatrując odwołanie arbitrzy szczegółowo rozważali kwestię odpowiedniego terminu wykonania zamówienia, posiłkowali się również opinią Urzędu Komunikacji Elektronicznej. Przeprowadzona analiza doprowadziła do konkluzji, że termin rozpoczęcia realizacji usług jest istotnym elementem postępowania, nie może być dowolny, a jak wskazuje stan faktyczny cytowanego orzeczenia, niewłaściwe określenie tegoż terminu może prowadzić do unieważnienia postępowania. Ustalając nieosiągalny dla większości potencjalnych wykonawców termin realizacji umowy </w:t>
      </w:r>
      <w:r>
        <w:rPr>
          <w:rFonts w:ascii="Times New Roman" w:hAnsi="Times New Roman" w:cs="Times New Roman"/>
        </w:rPr>
        <w:br/>
        <w:t>/</w:t>
      </w:r>
      <w:r w:rsidRPr="0058607D">
        <w:rPr>
          <w:rFonts w:ascii="Times New Roman" w:hAnsi="Times New Roman" w:cs="Times New Roman"/>
        </w:rPr>
        <w:t xml:space="preserve">rozpoczęcia świadczenia usług Zamawiający uniemożliwia przeprowadzenie postępowania przy zachowaniu zasad uczciwej konkurencji. Działając w powyższy sposób Zamawiający, naruszając przepisy Ustawy zgadza się na zawarcie umowy ze z góry upatrzonym wykonawcą. Zatem większość wykonawców nie będzie mogło złożyć swojej oferty, a zawężenie grona potencjalnych wykonawców odbędzie się ze szkodą dla Zamawiającego, który ograniczając konkurencję zmniejsza swoje szanse na optymalizację wykorzystania środków budżetowych na realizację przedmiotu zamówienia. Ponadto Zamawiający winien wziąć pod uwagę, iż usługi stanowiące przedmiot zamówienia są usługami dedykowanymi tylko dla Zamawiającego i powinien liczyć się z tym, że dostęp z sieci wykonawcy do konkretnej lokalizacji może wymagać inwestycji. Niezmiernie istotnym czynnikiem jest uwzględnienie technicznych reżimów budowy łączy telekomunikacyjnych i realiów związanych z realizacją konkretnej usługi. Ustalając nieosiągalny dla większości potencjalnych wykonawców termin gotowości do realizacji zamówienia Zamawiający uniemożliwia przeprowadzenie postępowania przy zachowaniu zasad uczciwej konkurencji. Działając w powyższy sposób Zamawiający, naruszając przepisy Ustawy zgadza się na zawarcie umowy ze z góry upatrzonym wykonawcą. Jak wynika z praktyki telekomunikacyjnej czas niezbędny na uruchomienie usług objętych przedmiotem zamówienia trwa 180 dni od dnia podpisania umowy. Wobec powyższego wnosimy o dokonanie modyfikacji zapisów SWZ w zakresie terminu rozpoczęcia świadczenia usług poprzez wskazanie ilości dni na uruchomienie usług liczonych od dnia podpisania umowy tj. 180 dnia od dnia podpisania umowy. </w:t>
      </w:r>
    </w:p>
    <w:p w:rsidR="00FA56FD" w:rsidRPr="006B21FB" w:rsidRDefault="00FA56FD" w:rsidP="00FA56FD">
      <w:pPr>
        <w:jc w:val="both"/>
        <w:rPr>
          <w:rFonts w:ascii="Times New Roman" w:hAnsi="Times New Roman" w:cs="Times New Roman"/>
          <w:b/>
          <w:u w:val="single"/>
        </w:rPr>
      </w:pPr>
      <w:r w:rsidRPr="006B21FB">
        <w:rPr>
          <w:rFonts w:ascii="Times New Roman" w:hAnsi="Times New Roman" w:cs="Times New Roman"/>
          <w:b/>
          <w:u w:val="single"/>
        </w:rPr>
        <w:t>Odpowiedź  na pytanie 1</w:t>
      </w:r>
    </w:p>
    <w:p w:rsidR="00FA56FD" w:rsidRDefault="00FA56FD" w:rsidP="00FA56FD">
      <w:pPr>
        <w:spacing w:line="276" w:lineRule="auto"/>
        <w:jc w:val="both"/>
        <w:rPr>
          <w:rFonts w:ascii="Times New Roman" w:hAnsi="Times New Roman" w:cs="Times New Roman"/>
        </w:rPr>
      </w:pPr>
      <w:r w:rsidRPr="000C6EAF">
        <w:rPr>
          <w:rFonts w:ascii="Times New Roman" w:hAnsi="Times New Roman" w:cs="Times New Roman"/>
        </w:rPr>
        <w:t xml:space="preserve">Zamawiający wyjaśnia, </w:t>
      </w:r>
      <w:r>
        <w:rPr>
          <w:rFonts w:ascii="Times New Roman" w:hAnsi="Times New Roman" w:cs="Times New Roman"/>
        </w:rPr>
        <w:t>ż</w:t>
      </w:r>
      <w:r w:rsidRPr="000C6EAF">
        <w:rPr>
          <w:rFonts w:ascii="Times New Roman" w:hAnsi="Times New Roman" w:cs="Times New Roman"/>
        </w:rPr>
        <w:t>e obecna umowa na dzierżawę łączy teletransmisyjnych obowiązuje do dnia 0</w:t>
      </w:r>
      <w:r>
        <w:rPr>
          <w:rFonts w:ascii="Times New Roman" w:hAnsi="Times New Roman" w:cs="Times New Roman"/>
        </w:rPr>
        <w:t>1</w:t>
      </w:r>
      <w:r w:rsidRPr="000C6EAF">
        <w:rPr>
          <w:rFonts w:ascii="Times New Roman" w:hAnsi="Times New Roman" w:cs="Times New Roman"/>
        </w:rPr>
        <w:t>.10.202</w:t>
      </w:r>
      <w:r>
        <w:rPr>
          <w:rFonts w:ascii="Times New Roman" w:hAnsi="Times New Roman" w:cs="Times New Roman"/>
        </w:rPr>
        <w:t>4 roku</w:t>
      </w:r>
      <w:r w:rsidRPr="000C6EAF">
        <w:rPr>
          <w:rFonts w:ascii="Times New Roman" w:hAnsi="Times New Roman" w:cs="Times New Roman"/>
        </w:rPr>
        <w:t>, a podstawą sprawnego funkcjonowania garnizonu mazowieckiej Policji jest utrzymanie ciągłości pracy jednostek Policji i dostępu do systemów teleinformatycznych. Zatem świadczenie usługi przez Wykonawcę, któremu zostanie udzielone zamówienie mu</w:t>
      </w:r>
      <w:r>
        <w:rPr>
          <w:rFonts w:ascii="Times New Roman" w:hAnsi="Times New Roman" w:cs="Times New Roman"/>
        </w:rPr>
        <w:t xml:space="preserve">si nastąpić od 02.10.2024 roku. </w:t>
      </w:r>
      <w:r w:rsidRPr="000C6EAF">
        <w:rPr>
          <w:rFonts w:ascii="Times New Roman" w:hAnsi="Times New Roman" w:cs="Times New Roman"/>
        </w:rPr>
        <w:t xml:space="preserve">Zamawiający podkreśla, iż uruchomił postępowanie o udzielenie zamówienia publicznego w najkrótszym możliwym terminie względem daty uzyskania środków z Komendy Głównej Policji jako płatnika przedmiotowej usługi, zachowując tym samym należytą staranność oraz dbałość o zachowanie optymalnego terminu na realizację przedmiotu umowy przez Wykonawcę </w:t>
      </w:r>
      <w:r>
        <w:rPr>
          <w:rFonts w:ascii="Times New Roman" w:hAnsi="Times New Roman" w:cs="Times New Roman"/>
        </w:rPr>
        <w:br/>
      </w:r>
      <w:r w:rsidRPr="000C6EAF">
        <w:rPr>
          <w:rFonts w:ascii="Times New Roman" w:hAnsi="Times New Roman" w:cs="Times New Roman"/>
        </w:rPr>
        <w:t xml:space="preserve">z zachowaniem ciągłości świadczonej usługi. Zamawiający, kierując się pilną potrzebą udzielenia zamówienia oraz umożliwieniem należytej realizacji uruchomienia usługi, </w:t>
      </w:r>
      <w:r>
        <w:rPr>
          <w:rFonts w:ascii="Times New Roman" w:hAnsi="Times New Roman" w:cs="Times New Roman"/>
        </w:rPr>
        <w:t xml:space="preserve">wskazał termin realizacji </w:t>
      </w:r>
      <w:r w:rsidRPr="008B5E6E">
        <w:rPr>
          <w:rFonts w:ascii="Times New Roman" w:hAnsi="Times New Roman" w:cs="Times New Roman"/>
        </w:rPr>
        <w:t>zamówienia ściśle związany z zachowaniem ciągłości pracy jednostek Policji</w:t>
      </w:r>
      <w:r>
        <w:rPr>
          <w:rFonts w:ascii="Times New Roman" w:hAnsi="Times New Roman" w:cs="Times New Roman"/>
        </w:rPr>
        <w:t xml:space="preserve">, </w:t>
      </w:r>
      <w:r w:rsidRPr="008B5E6E">
        <w:rPr>
          <w:rFonts w:ascii="Times New Roman" w:hAnsi="Times New Roman" w:cs="Times New Roman"/>
        </w:rPr>
        <w:t>a co za tym idzie realizacji ustawowych zadań Policji.</w:t>
      </w:r>
    </w:p>
    <w:p w:rsidR="00FA56FD" w:rsidRDefault="00FA56FD" w:rsidP="00FA56FD">
      <w:pPr>
        <w:spacing w:line="276" w:lineRule="auto"/>
        <w:jc w:val="both"/>
        <w:rPr>
          <w:rFonts w:ascii="Times New Roman" w:hAnsi="Times New Roman" w:cs="Times New Roman"/>
        </w:rPr>
      </w:pPr>
      <w:r w:rsidRPr="002F228F">
        <w:rPr>
          <w:rFonts w:ascii="Times New Roman" w:hAnsi="Times New Roman" w:cs="Times New Roman"/>
        </w:rPr>
        <w:t xml:space="preserve">Warto podkreślić, że przedmiotem zamówienia nie jest budowa infrastruktury. Powyższe stanowisko potwierdza Krajowa Izba Odwoławcza, która w analogicznym stanie faktycznym w wyroku sygn. akt. KIO 450/23 stwierdziła, że: „Zauważenia wymaga, że przedmiot zamówienia nie obejmuje procesów inwestycyjnych, w tym robót budowlanych, co oznacza, </w:t>
      </w:r>
      <w:r w:rsidRPr="002F228F">
        <w:rPr>
          <w:rFonts w:ascii="Times New Roman" w:hAnsi="Times New Roman" w:cs="Times New Roman"/>
          <w:b/>
        </w:rPr>
        <w:t>że wykonawca ubiegający się o udzielenie zamówienia powinien dysponować infrastrukturą techniczną pozwalającą na rozpoczęcie świadczenia usług w ustalonych przez Zamawiającego terminach.</w:t>
      </w:r>
      <w:r w:rsidRPr="002F228F">
        <w:rPr>
          <w:rFonts w:ascii="Times New Roman" w:hAnsi="Times New Roman" w:cs="Times New Roman"/>
        </w:rPr>
        <w:t xml:space="preserve"> Odwołujący nie wykazał, aby realizacja zamówienia wymagała wybudowania nowej infrastruktury, bez możliwości wykorzystania łączy posiadanych przez wykonawców, które można by tak dostosować lub w ograniczonym zakresie przebudować, aby przekształcić je w łącza dedykowane dla Zamawiającego.” </w:t>
      </w:r>
    </w:p>
    <w:p w:rsidR="00FA56FD" w:rsidRPr="00D02C0A" w:rsidRDefault="00FA56FD" w:rsidP="00FA56FD">
      <w:pPr>
        <w:spacing w:line="276" w:lineRule="auto"/>
        <w:jc w:val="both"/>
        <w:rPr>
          <w:rFonts w:ascii="Times New Roman" w:hAnsi="Times New Roman" w:cs="Times New Roman"/>
          <w:highlight w:val="yellow"/>
        </w:rPr>
      </w:pPr>
      <w:r w:rsidRPr="00D02C0A">
        <w:rPr>
          <w:rFonts w:ascii="Times New Roman" w:hAnsi="Times New Roman" w:cs="Times New Roman"/>
        </w:rPr>
        <w:lastRenderedPageBreak/>
        <w:t xml:space="preserve">Należy również zauważyć, iż Zamawiający musi zapewnić działanie łączy dla jednostek Policji na terenie garnizonu mazowieckiego w sposób ciągły. Przerwa w działaniu usług spowodowałaby paraliż pracy jednostek Policji oraz innych służb korzystających z infrastruktury Zamawiającego. Wobec powyższego, kolejne umowy muszą być zawierane w ten sposób, aby ciągłość działania usługi została zapewniona. Biorąc pod uwagę fakt, że bieżąca umowa zawarta została do dnia 02.10.2024 r. </w:t>
      </w:r>
      <w:r w:rsidRPr="00D02C0A">
        <w:rPr>
          <w:rFonts w:ascii="Times New Roman" w:hAnsi="Times New Roman" w:cs="Times New Roman"/>
        </w:rPr>
        <w:br/>
        <w:t xml:space="preserve">determinuje to uruchomienie usługi przez kolejnego operatora najpóźniej do dnia: 02.10.2024 r. Przy kontynuacji usług, gdzie Zamawiający ma świadomość, że może nastąpić zmiana operatora, termin ten musi być określony na konkretny dzień kalendarzowy. </w:t>
      </w:r>
      <w:r w:rsidRPr="00D02C0A">
        <w:rPr>
          <w:rFonts w:ascii="Times New Roman" w:hAnsi="Times New Roman" w:cs="Times New Roman"/>
          <w:b/>
        </w:rPr>
        <w:t>Jest to jedyne rozwiązanie umożliwiające rozgraniczenie odpowiedzialności operatorów za świadczenie usługi w zakresie swojej odpowiedzialności.</w:t>
      </w:r>
      <w:r w:rsidRPr="00D02C0A">
        <w:rPr>
          <w:rFonts w:ascii="Times New Roman" w:hAnsi="Times New Roman" w:cs="Times New Roman"/>
        </w:rPr>
        <w:t xml:space="preserve"> Jest to zatem obiektywna przyczyna do wskazania konkretnej daty uruchomienia usługi. Przepis art. 436 pkt 1 ustawy, określając jako zasadę ustalanie terminu realizacji zamówienia </w:t>
      </w:r>
      <w:r w:rsidRPr="00D02C0A">
        <w:rPr>
          <w:rFonts w:ascii="Times New Roman" w:hAnsi="Times New Roman" w:cs="Times New Roman"/>
        </w:rPr>
        <w:br/>
        <w:t xml:space="preserve">w dniach, tygodniach, miesiącach lub latach, wprost dopuszcza określenie tego terminu przez wskazanie daty, pod warunkiem istnienia ku temu obiektywnego uzasadnienia. Powyższe zostało również potwierdzone w przytoczonym już powyżej wyroku KIO 450/23 z dnia 07.03.2023 r.: „W ocenie Izby Zamawiający wykazał, że w okolicznościach tej sprawy uzasadnione było posłużenie się datą kalendarzową. </w:t>
      </w:r>
    </w:p>
    <w:p w:rsidR="00FA56FD" w:rsidRDefault="00FA56FD" w:rsidP="00FA56FD">
      <w:pPr>
        <w:spacing w:line="276" w:lineRule="auto"/>
        <w:jc w:val="both"/>
        <w:rPr>
          <w:rFonts w:ascii="Times New Roman" w:hAnsi="Times New Roman" w:cs="Times New Roman"/>
        </w:rPr>
      </w:pPr>
      <w:r>
        <w:rPr>
          <w:rFonts w:ascii="Times New Roman" w:hAnsi="Times New Roman" w:cs="Times New Roman"/>
        </w:rPr>
        <w:t xml:space="preserve">Ponadto </w:t>
      </w:r>
      <w:r w:rsidRPr="000C6EAF">
        <w:rPr>
          <w:rFonts w:ascii="Times New Roman" w:hAnsi="Times New Roman" w:cs="Times New Roman"/>
        </w:rPr>
        <w:t xml:space="preserve">Zamawiający nadmienia, że z </w:t>
      </w:r>
      <w:r>
        <w:rPr>
          <w:rFonts w:ascii="Times New Roman" w:hAnsi="Times New Roman" w:cs="Times New Roman"/>
        </w:rPr>
        <w:t xml:space="preserve">własnego </w:t>
      </w:r>
      <w:r w:rsidRPr="000C6EAF">
        <w:rPr>
          <w:rFonts w:ascii="Times New Roman" w:hAnsi="Times New Roman" w:cs="Times New Roman"/>
        </w:rPr>
        <w:t xml:space="preserve">doświadczenia oraz obserwacji procedury wdrażania tego typu usług w innych instytucjach </w:t>
      </w:r>
      <w:r>
        <w:rPr>
          <w:rFonts w:ascii="Times New Roman" w:hAnsi="Times New Roman" w:cs="Times New Roman"/>
        </w:rPr>
        <w:t xml:space="preserve">oraz publicznych jednostkach organizacyjnych </w:t>
      </w:r>
      <w:r w:rsidRPr="000C6EAF">
        <w:rPr>
          <w:rFonts w:ascii="Times New Roman" w:hAnsi="Times New Roman" w:cs="Times New Roman"/>
        </w:rPr>
        <w:t xml:space="preserve">wynika, </w:t>
      </w:r>
      <w:r>
        <w:rPr>
          <w:rFonts w:ascii="Times New Roman" w:hAnsi="Times New Roman" w:cs="Times New Roman"/>
        </w:rPr>
        <w:br/>
      </w:r>
      <w:r w:rsidRPr="000C6EAF">
        <w:rPr>
          <w:rFonts w:ascii="Times New Roman" w:hAnsi="Times New Roman" w:cs="Times New Roman"/>
        </w:rPr>
        <w:t xml:space="preserve">iż Wykonawcy mają niejednokrotnie krótszy czas na uruchomienie usługi, a realizują terminowo </w:t>
      </w:r>
      <w:r>
        <w:rPr>
          <w:rFonts w:ascii="Times New Roman" w:hAnsi="Times New Roman" w:cs="Times New Roman"/>
        </w:rPr>
        <w:br/>
      </w:r>
      <w:r w:rsidRPr="000C6EAF">
        <w:rPr>
          <w:rFonts w:ascii="Times New Roman" w:hAnsi="Times New Roman" w:cs="Times New Roman"/>
        </w:rPr>
        <w:t>i należycie przedmiot umowy.</w:t>
      </w:r>
    </w:p>
    <w:p w:rsidR="00FA56FD" w:rsidRPr="00FD37EE" w:rsidRDefault="00FA56FD" w:rsidP="00FA56FD">
      <w:pPr>
        <w:spacing w:line="276" w:lineRule="auto"/>
        <w:jc w:val="both"/>
        <w:rPr>
          <w:rFonts w:ascii="Times New Roman" w:hAnsi="Times New Roman" w:cs="Times New Roman"/>
          <w:highlight w:val="yellow"/>
        </w:rPr>
      </w:pPr>
      <w:r>
        <w:rPr>
          <w:rFonts w:ascii="Times New Roman" w:hAnsi="Times New Roman" w:cs="Times New Roman"/>
        </w:rPr>
        <w:t xml:space="preserve">W związku z powyższym zakładanie, że </w:t>
      </w:r>
      <w:r w:rsidRPr="0058607D">
        <w:rPr>
          <w:rFonts w:ascii="Times New Roman" w:hAnsi="Times New Roman" w:cs="Times New Roman"/>
        </w:rPr>
        <w:t>większość wykonawców nie będzie mogło złożyć swojej oferty, a zawężenie grona potencjalnych wykonawców odbędzie się ze szkodą dla Zamawiającego</w:t>
      </w:r>
      <w:r>
        <w:rPr>
          <w:rFonts w:ascii="Times New Roman" w:hAnsi="Times New Roman" w:cs="Times New Roman"/>
        </w:rPr>
        <w:t xml:space="preserve"> jest </w:t>
      </w:r>
      <w:r w:rsidRPr="00FD37EE">
        <w:rPr>
          <w:rFonts w:ascii="Times New Roman" w:hAnsi="Times New Roman" w:cs="Times New Roman"/>
        </w:rPr>
        <w:t xml:space="preserve">czysto hipotetyczne - zdarzenie przyszłe niepewne. </w:t>
      </w:r>
    </w:p>
    <w:p w:rsidR="00FA56FD" w:rsidRDefault="00FA56FD" w:rsidP="00FA56FD">
      <w:pPr>
        <w:spacing w:line="276" w:lineRule="auto"/>
        <w:jc w:val="both"/>
        <w:rPr>
          <w:rFonts w:ascii="Times New Roman" w:hAnsi="Times New Roman" w:cs="Times New Roman"/>
        </w:rPr>
      </w:pPr>
      <w:r w:rsidRPr="00FD37EE">
        <w:rPr>
          <w:rFonts w:ascii="Times New Roman" w:hAnsi="Times New Roman" w:cs="Times New Roman"/>
        </w:rPr>
        <w:t>Ponadto nadmienić należy, że Zamawiający nie określa rodzaju technologii do realizacji zamówienia od którego zależny jest czas niezbędny do uruchomienia usługi.</w:t>
      </w:r>
    </w:p>
    <w:p w:rsidR="00FA56FD" w:rsidRDefault="00FA56FD" w:rsidP="00FA56FD">
      <w:pPr>
        <w:spacing w:line="276" w:lineRule="auto"/>
        <w:jc w:val="both"/>
        <w:rPr>
          <w:rFonts w:ascii="Times New Roman" w:hAnsi="Times New Roman" w:cs="Times New Roman"/>
        </w:rPr>
      </w:pPr>
      <w:r w:rsidRPr="00B15C94">
        <w:rPr>
          <w:rFonts w:ascii="Times New Roman" w:hAnsi="Times New Roman" w:cs="Times New Roman"/>
        </w:rPr>
        <w:t xml:space="preserve">Zamawiający nie dopuszcza zmiany terminu </w:t>
      </w:r>
      <w:r w:rsidRPr="00620733">
        <w:rPr>
          <w:rFonts w:ascii="Times New Roman" w:hAnsi="Times New Roman" w:cs="Times New Roman"/>
        </w:rPr>
        <w:t>wskazan</w:t>
      </w:r>
      <w:r>
        <w:rPr>
          <w:rFonts w:ascii="Times New Roman" w:hAnsi="Times New Roman" w:cs="Times New Roman"/>
        </w:rPr>
        <w:t xml:space="preserve">ego w powyższym pytaniu </w:t>
      </w:r>
      <w:r w:rsidRPr="00B15C94">
        <w:rPr>
          <w:rFonts w:ascii="Times New Roman" w:hAnsi="Times New Roman" w:cs="Times New Roman"/>
        </w:rPr>
        <w:t xml:space="preserve">na okres 180 dni </w:t>
      </w:r>
      <w:r w:rsidRPr="00620733">
        <w:rPr>
          <w:rFonts w:ascii="Times New Roman" w:hAnsi="Times New Roman" w:cs="Times New Roman"/>
        </w:rPr>
        <w:t>na uruchomienie usług</w:t>
      </w:r>
      <w:r>
        <w:rPr>
          <w:rFonts w:ascii="Times New Roman" w:hAnsi="Times New Roman" w:cs="Times New Roman"/>
        </w:rPr>
        <w:t>i</w:t>
      </w:r>
      <w:r w:rsidRPr="00620733">
        <w:rPr>
          <w:rFonts w:ascii="Times New Roman" w:hAnsi="Times New Roman" w:cs="Times New Roman"/>
        </w:rPr>
        <w:t xml:space="preserve"> liczon</w:t>
      </w:r>
      <w:r>
        <w:rPr>
          <w:rFonts w:ascii="Times New Roman" w:hAnsi="Times New Roman" w:cs="Times New Roman"/>
        </w:rPr>
        <w:t>ego od dnia podpisania umowy.</w:t>
      </w:r>
    </w:p>
    <w:p w:rsidR="00FA56FD" w:rsidRDefault="00FA56FD" w:rsidP="00FA56FD">
      <w:pPr>
        <w:spacing w:line="276" w:lineRule="auto"/>
        <w:jc w:val="both"/>
        <w:rPr>
          <w:rFonts w:ascii="Times New Roman" w:hAnsi="Times New Roman" w:cs="Times New Roman"/>
        </w:rPr>
      </w:pPr>
      <w:r>
        <w:rPr>
          <w:rFonts w:ascii="Times New Roman" w:hAnsi="Times New Roman" w:cs="Times New Roman"/>
        </w:rPr>
        <w:t>Zamawiający podtrzymuje zapis</w:t>
      </w:r>
      <w:r w:rsidRPr="002C46F2">
        <w:rPr>
          <w:rFonts w:ascii="Times New Roman" w:hAnsi="Times New Roman" w:cs="Times New Roman"/>
        </w:rPr>
        <w:t xml:space="preserve"> § </w:t>
      </w:r>
      <w:r>
        <w:rPr>
          <w:rFonts w:ascii="Times New Roman" w:hAnsi="Times New Roman" w:cs="Times New Roman"/>
        </w:rPr>
        <w:t>4 ust. 1</w:t>
      </w:r>
      <w:r w:rsidRPr="002C46F2">
        <w:rPr>
          <w:rFonts w:ascii="Times New Roman" w:hAnsi="Times New Roman" w:cs="Times New Roman"/>
        </w:rPr>
        <w:t xml:space="preserve"> wzoru Umowy.</w:t>
      </w:r>
    </w:p>
    <w:p w:rsidR="00FA56FD" w:rsidRPr="00E45779" w:rsidRDefault="00FA56FD" w:rsidP="00FA56FD">
      <w:pPr>
        <w:spacing w:line="276" w:lineRule="auto"/>
        <w:jc w:val="both"/>
        <w:rPr>
          <w:rFonts w:ascii="Times New Roman" w:hAnsi="Times New Roman" w:cs="Times New Roman"/>
          <w:b/>
        </w:rPr>
      </w:pPr>
      <w:r>
        <w:rPr>
          <w:rFonts w:ascii="Times New Roman" w:hAnsi="Times New Roman" w:cs="Times New Roman"/>
          <w:b/>
          <w:u w:val="single"/>
        </w:rPr>
        <w:t>P</w:t>
      </w:r>
      <w:r w:rsidRPr="00E45779">
        <w:rPr>
          <w:rFonts w:ascii="Times New Roman" w:hAnsi="Times New Roman" w:cs="Times New Roman"/>
          <w:b/>
          <w:u w:val="single"/>
        </w:rPr>
        <w:t>ytanie 2:</w:t>
      </w:r>
      <w:r w:rsidRPr="00E45779">
        <w:rPr>
          <w:rFonts w:ascii="Times New Roman" w:hAnsi="Times New Roman" w:cs="Times New Roman"/>
          <w:b/>
        </w:rPr>
        <w:t xml:space="preserve"> </w:t>
      </w:r>
    </w:p>
    <w:p w:rsidR="00FA56FD" w:rsidRDefault="00FA56FD" w:rsidP="00FA56FD">
      <w:pPr>
        <w:spacing w:line="276" w:lineRule="auto"/>
        <w:jc w:val="both"/>
        <w:rPr>
          <w:rFonts w:ascii="Times New Roman" w:hAnsi="Times New Roman" w:cs="Times New Roman"/>
        </w:rPr>
      </w:pPr>
      <w:r w:rsidRPr="00BE40D1">
        <w:rPr>
          <w:rFonts w:ascii="Times New Roman" w:hAnsi="Times New Roman" w:cs="Times New Roman"/>
        </w:rPr>
        <w:t xml:space="preserve">Zgodnie z § 3 ust. 13 wzoru Umowy, za termin zapłaty wynagrodzenia należnego Wykonawcy uważa się dzień obciążenia rachunku Zamawiającego. Należy zwrócić uwagę, że postanowienie to w obecnym brzmieniu jest niezgodne z powszechną zasadą oraz linią orzecznictwa Sądu Najwyższego (por. uchwała SN z dn. 4 stycznia 1995 r. sygn. CZP 164/94), w myśl których za dzień spełnienia świadczenia pieniężnego w postaci bezgotówkowej uważa się dzień uznania rachunku bankowego wierzyciela </w:t>
      </w:r>
      <w:r>
        <w:rPr>
          <w:rFonts w:ascii="Times New Roman" w:hAnsi="Times New Roman" w:cs="Times New Roman"/>
        </w:rPr>
        <w:br/>
      </w:r>
      <w:r w:rsidRPr="00BE40D1">
        <w:rPr>
          <w:rFonts w:ascii="Times New Roman" w:hAnsi="Times New Roman" w:cs="Times New Roman"/>
        </w:rPr>
        <w:t xml:space="preserve">(tu Wykonawcy), a nie dzień obciążenia rachunku bankowego dłużnika (tu Zamawiającego). Czy </w:t>
      </w:r>
      <w:r>
        <w:rPr>
          <w:rFonts w:ascii="Times New Roman" w:hAnsi="Times New Roman" w:cs="Times New Roman"/>
        </w:rPr>
        <w:br/>
      </w:r>
      <w:r w:rsidRPr="00BE40D1">
        <w:rPr>
          <w:rFonts w:ascii="Times New Roman" w:hAnsi="Times New Roman" w:cs="Times New Roman"/>
        </w:rPr>
        <w:t xml:space="preserve">w związku z powyższym Zamawiający wyrazi zgodę na zmianę powyższego zapisu i uzna dniem zapłaty dzień uznania rachunku bankowego Wykonawcy? </w:t>
      </w:r>
    </w:p>
    <w:p w:rsidR="00FA56FD" w:rsidRPr="006B21FB" w:rsidRDefault="00FA56FD" w:rsidP="00FA56FD">
      <w:pPr>
        <w:spacing w:line="276" w:lineRule="auto"/>
        <w:jc w:val="both"/>
        <w:rPr>
          <w:rFonts w:ascii="Times New Roman" w:hAnsi="Times New Roman" w:cs="Times New Roman"/>
          <w:b/>
          <w:u w:val="single"/>
        </w:rPr>
      </w:pPr>
      <w:r w:rsidRPr="006B21FB">
        <w:rPr>
          <w:rFonts w:ascii="Times New Roman" w:hAnsi="Times New Roman" w:cs="Times New Roman"/>
          <w:b/>
          <w:u w:val="single"/>
        </w:rPr>
        <w:t>Odpowiedź na pytanie 2:</w:t>
      </w:r>
    </w:p>
    <w:p w:rsidR="00FA56FD" w:rsidRDefault="00FA56FD" w:rsidP="00FA56FD">
      <w:pPr>
        <w:spacing w:line="276" w:lineRule="auto"/>
        <w:jc w:val="both"/>
        <w:rPr>
          <w:rFonts w:ascii="Times New Roman" w:hAnsi="Times New Roman" w:cs="Times New Roman"/>
        </w:rPr>
      </w:pPr>
      <w:r w:rsidRPr="00735E2E">
        <w:rPr>
          <w:rFonts w:ascii="Times New Roman" w:hAnsi="Times New Roman" w:cs="Times New Roman"/>
        </w:rPr>
        <w:t xml:space="preserve">Zamawiający wyjaśnia, iż podtrzymuje treść postanowień zawartych we wzorze umowy z uwagi na konieczność wdrożenia wytycznych otrzymanych </w:t>
      </w:r>
      <w:r>
        <w:rPr>
          <w:rFonts w:ascii="Times New Roman" w:hAnsi="Times New Roman" w:cs="Times New Roman"/>
        </w:rPr>
        <w:t>z</w:t>
      </w:r>
      <w:r w:rsidRPr="00735E2E">
        <w:rPr>
          <w:rFonts w:ascii="Times New Roman" w:hAnsi="Times New Roman" w:cs="Times New Roman"/>
        </w:rPr>
        <w:t xml:space="preserve"> Komendy Głównej Policji jako płatnika przedmiotowej umowy. Jednocześnie Zamawiający informuje, że SN w powołanej uchwale podkreśla, że art. 454 </w:t>
      </w:r>
      <w:proofErr w:type="spellStart"/>
      <w:r w:rsidRPr="00735E2E">
        <w:rPr>
          <w:rFonts w:ascii="Times New Roman" w:hAnsi="Times New Roman" w:cs="Times New Roman"/>
        </w:rPr>
        <w:t>kc</w:t>
      </w:r>
      <w:proofErr w:type="spellEnd"/>
      <w:r w:rsidRPr="00735E2E">
        <w:rPr>
          <w:rFonts w:ascii="Times New Roman" w:hAnsi="Times New Roman" w:cs="Times New Roman"/>
        </w:rPr>
        <w:t xml:space="preserve"> jest przepisem iuris </w:t>
      </w:r>
      <w:proofErr w:type="spellStart"/>
      <w:r w:rsidRPr="00735E2E">
        <w:rPr>
          <w:rFonts w:ascii="Times New Roman" w:hAnsi="Times New Roman" w:cs="Times New Roman"/>
        </w:rPr>
        <w:t>dispositivi</w:t>
      </w:r>
      <w:proofErr w:type="spellEnd"/>
      <w:r w:rsidRPr="00735E2E">
        <w:rPr>
          <w:rFonts w:ascii="Times New Roman" w:hAnsi="Times New Roman" w:cs="Times New Roman"/>
        </w:rPr>
        <w:t xml:space="preserve">, a zatem strony stosunku zobowiązaniowego </w:t>
      </w:r>
      <w:r>
        <w:rPr>
          <w:rFonts w:ascii="Times New Roman" w:hAnsi="Times New Roman" w:cs="Times New Roman"/>
        </w:rPr>
        <w:t>-</w:t>
      </w:r>
      <w:r w:rsidRPr="00735E2E">
        <w:rPr>
          <w:rFonts w:ascii="Times New Roman" w:hAnsi="Times New Roman" w:cs="Times New Roman"/>
        </w:rPr>
        <w:t xml:space="preserve"> korzystając </w:t>
      </w:r>
      <w:r w:rsidRPr="00735E2E">
        <w:rPr>
          <w:rFonts w:ascii="Times New Roman" w:hAnsi="Times New Roman" w:cs="Times New Roman"/>
        </w:rPr>
        <w:lastRenderedPageBreak/>
        <w:t xml:space="preserve">z wolności kontraktowania </w:t>
      </w:r>
      <w:r>
        <w:rPr>
          <w:rFonts w:ascii="Times New Roman" w:hAnsi="Times New Roman" w:cs="Times New Roman"/>
        </w:rPr>
        <w:t xml:space="preserve">- </w:t>
      </w:r>
      <w:r w:rsidRPr="00735E2E">
        <w:rPr>
          <w:rFonts w:ascii="Times New Roman" w:hAnsi="Times New Roman" w:cs="Times New Roman"/>
        </w:rPr>
        <w:t>mogą w sposób odmienny ustalić w umowie, z jaką chwilą nastąpi spełnienie świadczenia bezgotówkowego.</w:t>
      </w:r>
    </w:p>
    <w:p w:rsidR="00FA56FD" w:rsidRPr="00E45779" w:rsidRDefault="00FA56FD" w:rsidP="00FA56FD">
      <w:pPr>
        <w:spacing w:line="276" w:lineRule="auto"/>
        <w:jc w:val="both"/>
        <w:rPr>
          <w:rFonts w:ascii="Times New Roman" w:hAnsi="Times New Roman" w:cs="Times New Roman"/>
          <w:b/>
        </w:rPr>
      </w:pPr>
      <w:r>
        <w:rPr>
          <w:rFonts w:ascii="Times New Roman" w:hAnsi="Times New Roman" w:cs="Times New Roman"/>
          <w:b/>
          <w:u w:val="single"/>
        </w:rPr>
        <w:t>P</w:t>
      </w:r>
      <w:r w:rsidRPr="00E45779">
        <w:rPr>
          <w:rFonts w:ascii="Times New Roman" w:hAnsi="Times New Roman" w:cs="Times New Roman"/>
          <w:b/>
          <w:u w:val="single"/>
        </w:rPr>
        <w:t>ytanie 3:</w:t>
      </w:r>
      <w:r w:rsidRPr="00E45779">
        <w:rPr>
          <w:rFonts w:ascii="Times New Roman" w:hAnsi="Times New Roman" w:cs="Times New Roman"/>
          <w:b/>
        </w:rPr>
        <w:t xml:space="preserve"> </w:t>
      </w:r>
    </w:p>
    <w:p w:rsidR="00FA56FD" w:rsidRDefault="00FA56FD" w:rsidP="00FA56FD">
      <w:pPr>
        <w:spacing w:line="276" w:lineRule="auto"/>
        <w:jc w:val="both"/>
        <w:rPr>
          <w:rFonts w:ascii="Times New Roman" w:hAnsi="Times New Roman" w:cs="Times New Roman"/>
        </w:rPr>
      </w:pPr>
      <w:r w:rsidRPr="00BE40D1">
        <w:rPr>
          <w:rFonts w:ascii="Times New Roman" w:hAnsi="Times New Roman" w:cs="Times New Roman"/>
        </w:rPr>
        <w:t xml:space="preserve">Zamawiający w par. 4 ust. 1 wzoru umowy zastrzega, iż może rozwiązać umowę z 3-miesięcznym okresem wypowiedzenia. Wykonawca zwraca uwagę, że z zasady umowy w zamówieniach publicznych są zawierane na czas oznaczony, a świadczenie wykonawcy winno być tożsame ze świadczeniem określonym w składanej przez niego ofercie. Wszelkie zapisy zezwalające na rozwiązanie umowy mogą spowodować, że projekt dla Wykonawcy stanie się nierentowny. Ustawodawca dopuszcza jedynie </w:t>
      </w:r>
      <w:r>
        <w:rPr>
          <w:rFonts w:ascii="Times New Roman" w:hAnsi="Times New Roman" w:cs="Times New Roman"/>
        </w:rPr>
        <w:br/>
      </w:r>
      <w:r w:rsidRPr="00BE40D1">
        <w:rPr>
          <w:rFonts w:ascii="Times New Roman" w:hAnsi="Times New Roman" w:cs="Times New Roman"/>
        </w:rPr>
        <w:t>w art. 456 ust. 1 pkt 1 odstąpienie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Wobec powyższego wnosimy o wykreślenie ww</w:t>
      </w:r>
      <w:r>
        <w:rPr>
          <w:rFonts w:ascii="Times New Roman" w:hAnsi="Times New Roman" w:cs="Times New Roman"/>
        </w:rPr>
        <w:t>.</w:t>
      </w:r>
      <w:r w:rsidRPr="00BE40D1">
        <w:rPr>
          <w:rFonts w:ascii="Times New Roman" w:hAnsi="Times New Roman" w:cs="Times New Roman"/>
        </w:rPr>
        <w:t xml:space="preserve"> zapisu z treści umowy. </w:t>
      </w:r>
    </w:p>
    <w:p w:rsidR="00FA56FD" w:rsidRPr="006B21FB" w:rsidRDefault="00FA56FD" w:rsidP="00FA56FD">
      <w:pPr>
        <w:spacing w:line="276" w:lineRule="auto"/>
        <w:jc w:val="both"/>
        <w:rPr>
          <w:rFonts w:ascii="Times New Roman" w:hAnsi="Times New Roman" w:cs="Times New Roman"/>
          <w:b/>
          <w:u w:val="single"/>
        </w:rPr>
      </w:pPr>
      <w:r>
        <w:rPr>
          <w:rFonts w:ascii="Times New Roman" w:hAnsi="Times New Roman" w:cs="Times New Roman"/>
          <w:b/>
          <w:u w:val="single"/>
        </w:rPr>
        <w:t>O</w:t>
      </w:r>
      <w:r w:rsidRPr="006B21FB">
        <w:rPr>
          <w:rFonts w:ascii="Times New Roman" w:hAnsi="Times New Roman" w:cs="Times New Roman"/>
          <w:b/>
          <w:u w:val="single"/>
        </w:rPr>
        <w:t>dp. na pytanie 3:</w:t>
      </w:r>
    </w:p>
    <w:p w:rsidR="00FA56FD" w:rsidRDefault="00FA56FD" w:rsidP="00FA56FD">
      <w:pPr>
        <w:spacing w:line="276" w:lineRule="auto"/>
        <w:jc w:val="both"/>
        <w:rPr>
          <w:rFonts w:ascii="Times New Roman" w:hAnsi="Times New Roman" w:cs="Times New Roman"/>
        </w:rPr>
      </w:pPr>
      <w:r>
        <w:rPr>
          <w:rFonts w:ascii="Times New Roman" w:hAnsi="Times New Roman" w:cs="Times New Roman"/>
        </w:rPr>
        <w:t>Zamawiający podtrzymuje zapis</w:t>
      </w:r>
      <w:r w:rsidRPr="002C46F2">
        <w:rPr>
          <w:rFonts w:ascii="Times New Roman" w:hAnsi="Times New Roman" w:cs="Times New Roman"/>
        </w:rPr>
        <w:t xml:space="preserve"> § </w:t>
      </w:r>
      <w:r>
        <w:rPr>
          <w:rFonts w:ascii="Times New Roman" w:hAnsi="Times New Roman" w:cs="Times New Roman"/>
        </w:rPr>
        <w:t>4 ust. 1</w:t>
      </w:r>
      <w:r w:rsidRPr="002C46F2">
        <w:rPr>
          <w:rFonts w:ascii="Times New Roman" w:hAnsi="Times New Roman" w:cs="Times New Roman"/>
        </w:rPr>
        <w:t xml:space="preserve"> wzoru Umowy.</w:t>
      </w:r>
    </w:p>
    <w:p w:rsidR="00FA56FD" w:rsidRPr="00697CE8" w:rsidRDefault="00FA56FD" w:rsidP="00FA56FD">
      <w:pPr>
        <w:spacing w:line="276" w:lineRule="auto"/>
        <w:jc w:val="both"/>
        <w:rPr>
          <w:rFonts w:ascii="Times New Roman" w:hAnsi="Times New Roman" w:cs="Times New Roman"/>
        </w:rPr>
      </w:pPr>
      <w:r>
        <w:rPr>
          <w:rFonts w:ascii="Times New Roman" w:hAnsi="Times New Roman" w:cs="Times New Roman"/>
        </w:rPr>
        <w:t>Zawarcie we wzorze umowy opcji umożliwiającej wcześniejsze jej rozwiązanie w okresie nie dłuższym niż trzy miesiące od pisemnego złożenia takiego wniosku jest podyktowane wytycznymi wskazanymi przez Komendę Główną Policji jako płatnika usługi.</w:t>
      </w:r>
    </w:p>
    <w:p w:rsidR="00FA56FD" w:rsidRPr="00E45779" w:rsidRDefault="00FA56FD" w:rsidP="00FA56FD">
      <w:pPr>
        <w:spacing w:line="276" w:lineRule="auto"/>
        <w:jc w:val="both"/>
        <w:rPr>
          <w:rFonts w:ascii="Times New Roman" w:hAnsi="Times New Roman" w:cs="Times New Roman"/>
          <w:b/>
          <w:u w:val="single"/>
        </w:rPr>
      </w:pPr>
      <w:r>
        <w:rPr>
          <w:rFonts w:ascii="Times New Roman" w:hAnsi="Times New Roman" w:cs="Times New Roman"/>
          <w:b/>
          <w:u w:val="single"/>
        </w:rPr>
        <w:t>P</w:t>
      </w:r>
      <w:r w:rsidRPr="00E45779">
        <w:rPr>
          <w:rFonts w:ascii="Times New Roman" w:hAnsi="Times New Roman" w:cs="Times New Roman"/>
          <w:b/>
          <w:u w:val="single"/>
        </w:rPr>
        <w:t xml:space="preserve">ytanie 4: </w:t>
      </w:r>
    </w:p>
    <w:p w:rsidR="00FA56FD" w:rsidRDefault="00FA56FD" w:rsidP="00FA56FD">
      <w:pPr>
        <w:spacing w:line="276" w:lineRule="auto"/>
        <w:jc w:val="both"/>
        <w:rPr>
          <w:rFonts w:ascii="Times New Roman" w:hAnsi="Times New Roman" w:cs="Times New Roman"/>
        </w:rPr>
      </w:pPr>
      <w:r w:rsidRPr="00BE40D1">
        <w:rPr>
          <w:rFonts w:ascii="Times New Roman" w:hAnsi="Times New Roman" w:cs="Times New Roman"/>
        </w:rPr>
        <w:t>Zamawiający w par. 8 ust. 6 wzoru umowy zastrzega sobie prawo dochodzenia odszkodowania przewyższającego wysokość zastrzeżonych kar umownych. Wykonawca zwraca uwagę, że jest w stanie ponieść koszty rzeczywistych strat jakie poniósł Zamawiający, czyli faktycznych wydatków poniesionych przez Zamawiającego, nie może natomiast ponosić odpowiedzialności za wszystkie korzyści jakie mógł utracić Zamawiający. Ponoszenie przez Wykonawcę takich kosztów może spowodować nierentowność projektu, a dla Zamawiającego może stać się bezpodstawnym wzbogaceniem. Czy wobec powyższego Zamawiający uzupełni zapis powyższego paragrafu poprzez dodanie zdania: "</w:t>
      </w:r>
      <w:r>
        <w:rPr>
          <w:rFonts w:ascii="Times New Roman" w:hAnsi="Times New Roman" w:cs="Times New Roman"/>
        </w:rPr>
        <w:t xml:space="preserve"> </w:t>
      </w:r>
      <w:r w:rsidRPr="00BE40D1">
        <w:rPr>
          <w:rFonts w:ascii="Times New Roman" w:hAnsi="Times New Roman" w:cs="Times New Roman"/>
        </w:rPr>
        <w:t xml:space="preserve">(...) do wysokości rzeczywiście poniesionej szkody, przy czym całkowita odpowiedzialność Wykonawcy z kontraktu nie może przekroczyć 100% całkowitej wartości zamówienia."? </w:t>
      </w:r>
    </w:p>
    <w:p w:rsidR="00FA56FD" w:rsidRPr="00BF1F18" w:rsidRDefault="00FA56FD" w:rsidP="00FA56FD">
      <w:pPr>
        <w:spacing w:line="276" w:lineRule="auto"/>
        <w:jc w:val="both"/>
        <w:rPr>
          <w:rFonts w:ascii="Times New Roman" w:hAnsi="Times New Roman" w:cs="Times New Roman"/>
          <w:b/>
          <w:u w:val="single"/>
        </w:rPr>
      </w:pPr>
      <w:r>
        <w:rPr>
          <w:rFonts w:ascii="Times New Roman" w:hAnsi="Times New Roman" w:cs="Times New Roman"/>
          <w:b/>
          <w:u w:val="single"/>
        </w:rPr>
        <w:t>O</w:t>
      </w:r>
      <w:r w:rsidRPr="00BF1F18">
        <w:rPr>
          <w:rFonts w:ascii="Times New Roman" w:hAnsi="Times New Roman" w:cs="Times New Roman"/>
          <w:b/>
          <w:u w:val="single"/>
        </w:rPr>
        <w:t>dp. na pytanie 4:</w:t>
      </w:r>
    </w:p>
    <w:p w:rsidR="00FA56FD" w:rsidRDefault="00FA56FD" w:rsidP="00FA56FD">
      <w:pPr>
        <w:spacing w:line="276" w:lineRule="auto"/>
        <w:jc w:val="both"/>
        <w:rPr>
          <w:rFonts w:ascii="Times New Roman" w:hAnsi="Times New Roman" w:cs="Times New Roman"/>
        </w:rPr>
      </w:pPr>
      <w:r w:rsidRPr="00BE6874">
        <w:rPr>
          <w:rFonts w:ascii="Times New Roman" w:hAnsi="Times New Roman" w:cs="Times New Roman"/>
        </w:rPr>
        <w:t>Zamawiający wyjaśnia, że podtrzymuje zapisy wzoru umowy.</w:t>
      </w:r>
    </w:p>
    <w:p w:rsidR="00FA56FD" w:rsidRPr="00E45779" w:rsidRDefault="00FA56FD" w:rsidP="00FA56FD">
      <w:pPr>
        <w:spacing w:line="276" w:lineRule="auto"/>
        <w:jc w:val="both"/>
        <w:rPr>
          <w:rFonts w:ascii="Times New Roman" w:hAnsi="Times New Roman" w:cs="Times New Roman"/>
          <w:b/>
          <w:u w:val="single"/>
        </w:rPr>
      </w:pPr>
      <w:r>
        <w:rPr>
          <w:rFonts w:ascii="Times New Roman" w:hAnsi="Times New Roman" w:cs="Times New Roman"/>
          <w:b/>
          <w:u w:val="single"/>
        </w:rPr>
        <w:t>P</w:t>
      </w:r>
      <w:r w:rsidRPr="00E45779">
        <w:rPr>
          <w:rFonts w:ascii="Times New Roman" w:hAnsi="Times New Roman" w:cs="Times New Roman"/>
          <w:b/>
          <w:u w:val="single"/>
        </w:rPr>
        <w:t xml:space="preserve">ytanie 5: </w:t>
      </w:r>
    </w:p>
    <w:p w:rsidR="00FA56FD" w:rsidRDefault="00FA56FD" w:rsidP="00FA56FD">
      <w:pPr>
        <w:spacing w:line="276" w:lineRule="auto"/>
        <w:jc w:val="both"/>
        <w:rPr>
          <w:rFonts w:ascii="Times New Roman" w:hAnsi="Times New Roman" w:cs="Times New Roman"/>
        </w:rPr>
      </w:pPr>
      <w:r w:rsidRPr="00BE40D1">
        <w:rPr>
          <w:rFonts w:ascii="Times New Roman" w:hAnsi="Times New Roman" w:cs="Times New Roman"/>
        </w:rPr>
        <w:t xml:space="preserve">Zamawiający w par. 8 ust. 5 wzoru Umowy wymaga zgody na potrącanie kar umownych z należnego Wykonawcy wynagrodzenia. Wykonawca zwraca uwagę, iż kary umowne winny być dochodzone po uprzednio przeprowadzonym procesie reklamacyjnym. Natomiast nieprawidłowości dotyczące płatności zawsze są regulowane fakturami korygującymi lub też notami księgowymi po rozpatrzeniu złożonej reklamacji. Czy Zamawiający potwierdza, że jeżeli w wynika procesu reklamacyjnego prowadzonego na zasadach i warunkach określonych w Rozporządzeniu Ministra Administracji </w:t>
      </w:r>
      <w:r>
        <w:rPr>
          <w:rFonts w:ascii="Times New Roman" w:hAnsi="Times New Roman" w:cs="Times New Roman"/>
        </w:rPr>
        <w:br/>
      </w:r>
      <w:r w:rsidRPr="00BE40D1">
        <w:rPr>
          <w:rFonts w:ascii="Times New Roman" w:hAnsi="Times New Roman" w:cs="Times New Roman"/>
        </w:rPr>
        <w:t>i Cyfryzacji w sprawie reklamacji usług telekomunikacyjnych z dnia 24 lutego 2014r. (Dz. U. z 2014</w:t>
      </w:r>
      <w:r>
        <w:rPr>
          <w:rFonts w:ascii="Times New Roman" w:hAnsi="Times New Roman" w:cs="Times New Roman"/>
        </w:rPr>
        <w:t xml:space="preserve"> </w:t>
      </w:r>
      <w:r w:rsidRPr="00BE40D1">
        <w:rPr>
          <w:rFonts w:ascii="Times New Roman" w:hAnsi="Times New Roman" w:cs="Times New Roman"/>
        </w:rPr>
        <w:t xml:space="preserve">r. poz. 284) okaże się, że kary umowne były naliczone niezasadnie, to Zamawiający dokonać ich zwrotu na rzecz Wykonawcy? </w:t>
      </w:r>
    </w:p>
    <w:p w:rsidR="00FA56FD" w:rsidRPr="006877B4" w:rsidRDefault="00FA56FD" w:rsidP="00FA56FD">
      <w:pPr>
        <w:spacing w:line="276" w:lineRule="auto"/>
        <w:jc w:val="both"/>
        <w:rPr>
          <w:rFonts w:ascii="Times New Roman" w:hAnsi="Times New Roman" w:cs="Times New Roman"/>
          <w:b/>
          <w:u w:val="single"/>
        </w:rPr>
      </w:pPr>
      <w:r w:rsidRPr="006877B4">
        <w:rPr>
          <w:rFonts w:ascii="Times New Roman" w:hAnsi="Times New Roman" w:cs="Times New Roman"/>
          <w:b/>
          <w:u w:val="single"/>
        </w:rPr>
        <w:lastRenderedPageBreak/>
        <w:t>Odp. na pytanie 5:</w:t>
      </w:r>
    </w:p>
    <w:p w:rsidR="00FA56FD" w:rsidRPr="004820EA" w:rsidRDefault="00FA56FD" w:rsidP="00FA56FD">
      <w:pPr>
        <w:spacing w:line="276" w:lineRule="auto"/>
        <w:jc w:val="both"/>
        <w:rPr>
          <w:rFonts w:ascii="Times New Roman" w:hAnsi="Times New Roman" w:cs="Times New Roman"/>
        </w:rPr>
      </w:pPr>
      <w:r w:rsidRPr="004820EA">
        <w:rPr>
          <w:rFonts w:ascii="Times New Roman" w:hAnsi="Times New Roman" w:cs="Times New Roman"/>
        </w:rPr>
        <w:t xml:space="preserve">Zamawiający wyjaśnia, iż nie wyraża zgody na zmianę </w:t>
      </w:r>
      <w:r>
        <w:rPr>
          <w:rFonts w:ascii="Times New Roman" w:hAnsi="Times New Roman" w:cs="Times New Roman"/>
        </w:rPr>
        <w:t xml:space="preserve">warunków projektu </w:t>
      </w:r>
      <w:r w:rsidRPr="004820EA">
        <w:rPr>
          <w:rFonts w:ascii="Times New Roman" w:hAnsi="Times New Roman" w:cs="Times New Roman"/>
        </w:rPr>
        <w:t>umowy.</w:t>
      </w:r>
    </w:p>
    <w:p w:rsidR="00FA56FD" w:rsidRPr="00E45779" w:rsidRDefault="00FA56FD" w:rsidP="00FA56FD">
      <w:pPr>
        <w:spacing w:line="276" w:lineRule="auto"/>
        <w:jc w:val="both"/>
        <w:rPr>
          <w:rFonts w:ascii="Times New Roman" w:hAnsi="Times New Roman" w:cs="Times New Roman"/>
          <w:b/>
          <w:u w:val="single"/>
        </w:rPr>
      </w:pPr>
      <w:r>
        <w:rPr>
          <w:rFonts w:ascii="Times New Roman" w:hAnsi="Times New Roman" w:cs="Times New Roman"/>
          <w:b/>
          <w:u w:val="single"/>
        </w:rPr>
        <w:t>P</w:t>
      </w:r>
      <w:r w:rsidRPr="00E45779">
        <w:rPr>
          <w:rFonts w:ascii="Times New Roman" w:hAnsi="Times New Roman" w:cs="Times New Roman"/>
          <w:b/>
          <w:u w:val="single"/>
        </w:rPr>
        <w:t xml:space="preserve">ytanie 6: </w:t>
      </w:r>
    </w:p>
    <w:p w:rsidR="00FA56FD" w:rsidRPr="000C6EAF" w:rsidRDefault="00FA56FD" w:rsidP="00FA56FD">
      <w:pPr>
        <w:spacing w:line="276" w:lineRule="auto"/>
        <w:jc w:val="both"/>
        <w:rPr>
          <w:rFonts w:ascii="Times New Roman" w:hAnsi="Times New Roman" w:cs="Times New Roman"/>
        </w:rPr>
      </w:pPr>
      <w:r w:rsidRPr="00BE40D1">
        <w:rPr>
          <w:rFonts w:ascii="Times New Roman" w:hAnsi="Times New Roman" w:cs="Times New Roman"/>
        </w:rPr>
        <w:t xml:space="preserve">Zamawiający par. 10 ust. 1 pkt 1) i 2) wzoru umowy dopuszcza możliwość rezygnacji z dzierżawy części łączy oraz dopuszcza zmiany relacji łączy. Zwracamy uwagę, że świadczenie wykonawcy winno być tożsame ze świadczeniem określonym w składanej przez niego ofercie, zatem wszelkie zmiany ilości usług czy też ich miejsca instalacji może powodować generowanie nieprzewidzianych w projekcie kosztów, a co za tym idzie powodować nierentowność prowadzonego projektu. Ponadto Wykonawca informuje, że w przypadku usług telekomunikacyjnych, nie może zagwarantować na etapie składania ofert, iż będzie mógł dostarczyć usługę do każdej wskazanej przez Zamawiającego lokalizacji, nie znanej na etapie przygotowywania oferty, na warunkach finansowych wskazanych w ofercie. Wprowadzenie przez Zamawiającego takiego obowiązku, skutkuje tym, że Wykonawca niezależnie od kosztów jakie będzie musiał ponieść, zobowiązany będzie dostarczyć usługi do wskazanej lokalizacji. W celu właściwego oszacowania wartości zamówienia Wykonawca winien znać dokładne okoliczności takich zmian tj. w jakiej maksymalnej ilości, do jakich lokalizacji, ile takich zmian może wystąpić </w:t>
      </w:r>
      <w:r>
        <w:rPr>
          <w:rFonts w:ascii="Times New Roman" w:hAnsi="Times New Roman" w:cs="Times New Roman"/>
        </w:rPr>
        <w:br/>
      </w:r>
      <w:r w:rsidRPr="00BE40D1">
        <w:rPr>
          <w:rFonts w:ascii="Times New Roman" w:hAnsi="Times New Roman" w:cs="Times New Roman"/>
        </w:rPr>
        <w:t>w trakcie trwania umowy. Zatem wnosimy o doprecyzowanie przedmiotu zamówienia ze wskazanie wszelkich okoliczności o ilości zmian lub też usunięcie tych zapisów z treści zapytania i wzoru umowy.</w:t>
      </w:r>
    </w:p>
    <w:p w:rsidR="00FA56FD" w:rsidRPr="006877B4" w:rsidRDefault="00FA56FD" w:rsidP="00FA56FD">
      <w:pPr>
        <w:jc w:val="both"/>
        <w:rPr>
          <w:rFonts w:ascii="Times New Roman" w:hAnsi="Times New Roman" w:cs="Times New Roman"/>
          <w:b/>
          <w:u w:val="single"/>
        </w:rPr>
      </w:pPr>
      <w:r>
        <w:rPr>
          <w:rFonts w:ascii="Times New Roman" w:hAnsi="Times New Roman" w:cs="Times New Roman"/>
          <w:b/>
          <w:u w:val="single"/>
        </w:rPr>
        <w:t>O</w:t>
      </w:r>
      <w:r w:rsidRPr="006877B4">
        <w:rPr>
          <w:rFonts w:ascii="Times New Roman" w:hAnsi="Times New Roman" w:cs="Times New Roman"/>
          <w:b/>
          <w:u w:val="single"/>
        </w:rPr>
        <w:t>dp. na pytanie 6:</w:t>
      </w:r>
    </w:p>
    <w:p w:rsidR="00FA56FD" w:rsidRDefault="00FA56FD" w:rsidP="00FA56FD">
      <w:pPr>
        <w:jc w:val="both"/>
        <w:rPr>
          <w:rFonts w:ascii="Times New Roman" w:hAnsi="Times New Roman" w:cs="Times New Roman"/>
        </w:rPr>
      </w:pPr>
      <w:r w:rsidRPr="00442CD1">
        <w:rPr>
          <w:rFonts w:ascii="Times New Roman" w:hAnsi="Times New Roman" w:cs="Times New Roman"/>
        </w:rPr>
        <w:t xml:space="preserve">Zamawiający </w:t>
      </w:r>
      <w:r>
        <w:rPr>
          <w:rFonts w:ascii="Times New Roman" w:hAnsi="Times New Roman" w:cs="Times New Roman"/>
        </w:rPr>
        <w:t>wskazuje</w:t>
      </w:r>
      <w:r w:rsidRPr="00442CD1">
        <w:rPr>
          <w:rFonts w:ascii="Times New Roman" w:hAnsi="Times New Roman" w:cs="Times New Roman"/>
        </w:rPr>
        <w:t xml:space="preserve">, że zapisy </w:t>
      </w:r>
      <w:r>
        <w:rPr>
          <w:rFonts w:ascii="Times New Roman" w:hAnsi="Times New Roman" w:cs="Times New Roman"/>
        </w:rPr>
        <w:t xml:space="preserve">§ 10 wzoru umowy wynikają z charakteru funkcjonowania terenowych jednostek Policji, tzn. istnieje możliwość </w:t>
      </w:r>
      <w:r w:rsidRPr="00442CD1">
        <w:rPr>
          <w:rFonts w:ascii="Times New Roman" w:hAnsi="Times New Roman" w:cs="Times New Roman"/>
        </w:rPr>
        <w:t>zmian</w:t>
      </w:r>
      <w:r>
        <w:rPr>
          <w:rFonts w:ascii="Times New Roman" w:hAnsi="Times New Roman" w:cs="Times New Roman"/>
        </w:rPr>
        <w:t>y</w:t>
      </w:r>
      <w:r w:rsidRPr="00442CD1">
        <w:rPr>
          <w:rFonts w:ascii="Times New Roman" w:hAnsi="Times New Roman" w:cs="Times New Roman"/>
        </w:rPr>
        <w:t xml:space="preserve"> lokalizacji jednostki Policji</w:t>
      </w:r>
      <w:r>
        <w:rPr>
          <w:rFonts w:ascii="Times New Roman" w:hAnsi="Times New Roman" w:cs="Times New Roman"/>
        </w:rPr>
        <w:t>, a co za tym idzie</w:t>
      </w:r>
      <w:r w:rsidRPr="00442CD1">
        <w:rPr>
          <w:rFonts w:ascii="Times New Roman" w:hAnsi="Times New Roman" w:cs="Times New Roman"/>
        </w:rPr>
        <w:t xml:space="preserve"> konieczne jest zakończenie łącza (przeniesienie łącza) w danej relacji w granicach administracyjnych miejscowości</w:t>
      </w:r>
      <w:r>
        <w:rPr>
          <w:rFonts w:ascii="Times New Roman" w:hAnsi="Times New Roman" w:cs="Times New Roman"/>
        </w:rPr>
        <w:t xml:space="preserve">. Zatem </w:t>
      </w:r>
      <w:r w:rsidRPr="00FB3E6A">
        <w:rPr>
          <w:rFonts w:ascii="Times New Roman" w:hAnsi="Times New Roman" w:cs="Times New Roman"/>
        </w:rPr>
        <w:t>jako zdarze</w:t>
      </w:r>
      <w:r>
        <w:rPr>
          <w:rFonts w:ascii="Times New Roman" w:hAnsi="Times New Roman" w:cs="Times New Roman"/>
        </w:rPr>
        <w:t xml:space="preserve">nie przyszłe niepewne brak jest możliwości doprecyzowania ilości </w:t>
      </w:r>
      <w:r w:rsidRPr="00FB3E6A">
        <w:rPr>
          <w:rFonts w:ascii="Times New Roman" w:hAnsi="Times New Roman" w:cs="Times New Roman"/>
        </w:rPr>
        <w:t>zmian lokalizacji (</w:t>
      </w:r>
      <w:r>
        <w:rPr>
          <w:rFonts w:ascii="Times New Roman" w:hAnsi="Times New Roman" w:cs="Times New Roman"/>
        </w:rPr>
        <w:t>przeniesienia łącza).</w:t>
      </w:r>
    </w:p>
    <w:p w:rsidR="00FA56FD" w:rsidRPr="00442CD1" w:rsidRDefault="00FA56FD" w:rsidP="00FA56FD">
      <w:pPr>
        <w:jc w:val="both"/>
        <w:rPr>
          <w:rFonts w:ascii="Times New Roman" w:hAnsi="Times New Roman" w:cs="Times New Roman"/>
        </w:rPr>
      </w:pPr>
      <w:r>
        <w:rPr>
          <w:rFonts w:ascii="Times New Roman" w:hAnsi="Times New Roman" w:cs="Times New Roman"/>
        </w:rPr>
        <w:t xml:space="preserve">Zamawiający nadmienia, że w trakcie trwania dotychczasowych umów zawartych na okres 36 miesięcy miało miejsce </w:t>
      </w:r>
      <w:r w:rsidRPr="001F4ABA">
        <w:rPr>
          <w:rFonts w:ascii="Times New Roman" w:hAnsi="Times New Roman" w:cs="Times New Roman"/>
        </w:rPr>
        <w:t>niespełna</w:t>
      </w:r>
      <w:r w:rsidRPr="00DD3FBA">
        <w:rPr>
          <w:rFonts w:ascii="Times New Roman" w:hAnsi="Times New Roman" w:cs="Times New Roman"/>
        </w:rPr>
        <w:t xml:space="preserve"> </w:t>
      </w:r>
      <w:r>
        <w:rPr>
          <w:rFonts w:ascii="Times New Roman" w:hAnsi="Times New Roman" w:cs="Times New Roman"/>
        </w:rPr>
        <w:t>5</w:t>
      </w:r>
      <w:r w:rsidRPr="001F4ABA">
        <w:rPr>
          <w:rFonts w:ascii="Times New Roman" w:hAnsi="Times New Roman" w:cs="Times New Roman"/>
        </w:rPr>
        <w:t xml:space="preserve"> %</w:t>
      </w:r>
      <w:r>
        <w:rPr>
          <w:rFonts w:ascii="Times New Roman" w:hAnsi="Times New Roman" w:cs="Times New Roman"/>
        </w:rPr>
        <w:t xml:space="preserve"> zmian lokalizacji (przeniesienia łączy) ogólnej liczby łącz internetowych. Powyższe praktyczne dane obalają stawianą w pytaniu </w:t>
      </w:r>
      <w:r w:rsidRPr="00031283">
        <w:rPr>
          <w:rFonts w:ascii="Times New Roman" w:hAnsi="Times New Roman" w:cs="Times New Roman"/>
        </w:rPr>
        <w:t xml:space="preserve">tezę </w:t>
      </w:r>
      <w:r>
        <w:rPr>
          <w:rFonts w:ascii="Times New Roman" w:hAnsi="Times New Roman" w:cs="Times New Roman"/>
        </w:rPr>
        <w:t xml:space="preserve">o nierentowności prowadzonego projektu </w:t>
      </w:r>
      <w:r>
        <w:rPr>
          <w:rFonts w:ascii="Times New Roman" w:hAnsi="Times New Roman" w:cs="Times New Roman"/>
        </w:rPr>
        <w:br/>
        <w:t xml:space="preserve">w przypadku zmian lokalizacji łącz. </w:t>
      </w:r>
    </w:p>
    <w:p w:rsidR="00FA56FD" w:rsidRDefault="00FA56FD" w:rsidP="00FA56FD">
      <w:pPr>
        <w:jc w:val="both"/>
        <w:rPr>
          <w:rFonts w:ascii="Times New Roman" w:hAnsi="Times New Roman" w:cs="Times New Roman"/>
        </w:rPr>
      </w:pPr>
      <w:r w:rsidRPr="00974EF2">
        <w:rPr>
          <w:rFonts w:ascii="Times New Roman" w:hAnsi="Times New Roman" w:cs="Times New Roman"/>
        </w:rPr>
        <w:t>Zamawiający wyjaśnia, że</w:t>
      </w:r>
      <w:r>
        <w:rPr>
          <w:rFonts w:ascii="Times New Roman" w:hAnsi="Times New Roman" w:cs="Times New Roman"/>
        </w:rPr>
        <w:t xml:space="preserve"> podtrzymuje zapisy § 10 ust. </w:t>
      </w:r>
      <w:r w:rsidRPr="00563EA1">
        <w:rPr>
          <w:rFonts w:ascii="Times New Roman" w:hAnsi="Times New Roman" w:cs="Times New Roman"/>
        </w:rPr>
        <w:t xml:space="preserve">1 pkt 1) i 2) </w:t>
      </w:r>
      <w:r>
        <w:rPr>
          <w:rFonts w:ascii="Times New Roman" w:hAnsi="Times New Roman" w:cs="Times New Roman"/>
        </w:rPr>
        <w:t>wzoru umowy.</w:t>
      </w:r>
    </w:p>
    <w:p w:rsidR="00FA56FD" w:rsidRPr="00BF1F18" w:rsidRDefault="00FA56FD" w:rsidP="00FA56FD">
      <w:pPr>
        <w:jc w:val="both"/>
        <w:rPr>
          <w:rFonts w:ascii="Times New Roman" w:hAnsi="Times New Roman" w:cs="Times New Roman"/>
          <w:b/>
          <w:u w:val="single"/>
        </w:rPr>
      </w:pPr>
      <w:r w:rsidRPr="00BF1F18">
        <w:rPr>
          <w:rFonts w:ascii="Times New Roman" w:hAnsi="Times New Roman" w:cs="Times New Roman"/>
          <w:b/>
          <w:u w:val="single"/>
        </w:rPr>
        <w:t>Pytanie 7</w:t>
      </w:r>
    </w:p>
    <w:p w:rsidR="00FA56FD" w:rsidRPr="00BF1F18" w:rsidRDefault="00FA56FD" w:rsidP="00FA56FD">
      <w:pPr>
        <w:shd w:val="clear" w:color="auto" w:fill="FFFFFF"/>
        <w:spacing w:after="0" w:line="240" w:lineRule="auto"/>
        <w:rPr>
          <w:rFonts w:ascii="Times New Roman" w:eastAsia="Times New Roman" w:hAnsi="Times New Roman" w:cs="Times New Roman"/>
          <w:lang w:eastAsia="pl-PL"/>
        </w:rPr>
      </w:pPr>
      <w:r w:rsidRPr="00BF1F18">
        <w:rPr>
          <w:rFonts w:ascii="Times New Roman" w:eastAsia="Times New Roman" w:hAnsi="Times New Roman" w:cs="Times New Roman"/>
          <w:lang w:eastAsia="pl-PL"/>
        </w:rPr>
        <w:t>Zamawiający wskazał routery Cisco ISR serii 4000 do zastosowania jako routery demarkacyjne w lokalizacjach. Niestety routery Cisco ISR 4000 nie są już w sprzedaży, przez co niemożliwe jest spełnienie opisanych wytycznych. Wnosimy o zmianę.</w:t>
      </w:r>
    </w:p>
    <w:p w:rsidR="00FA56FD" w:rsidRPr="00BF1F18" w:rsidRDefault="00FA56FD" w:rsidP="00FA56FD">
      <w:pPr>
        <w:shd w:val="clear" w:color="auto" w:fill="FFFFFF"/>
        <w:spacing w:after="0" w:line="240" w:lineRule="auto"/>
        <w:rPr>
          <w:rFonts w:ascii="Times New Roman" w:eastAsia="Times New Roman" w:hAnsi="Times New Roman" w:cs="Times New Roman"/>
          <w:lang w:eastAsia="pl-PL"/>
        </w:rPr>
      </w:pPr>
    </w:p>
    <w:p w:rsidR="00FA56FD" w:rsidRPr="00BF1F18" w:rsidRDefault="00FA56FD" w:rsidP="00FA56FD">
      <w:pPr>
        <w:jc w:val="both"/>
        <w:rPr>
          <w:rFonts w:ascii="Times New Roman" w:hAnsi="Times New Roman" w:cs="Times New Roman"/>
          <w:b/>
          <w:u w:val="single"/>
        </w:rPr>
      </w:pPr>
      <w:r w:rsidRPr="00BF1F18">
        <w:rPr>
          <w:rFonts w:ascii="Times New Roman" w:hAnsi="Times New Roman" w:cs="Times New Roman"/>
          <w:b/>
          <w:u w:val="single"/>
        </w:rPr>
        <w:t>Odp. na pytanie 7:</w:t>
      </w:r>
    </w:p>
    <w:p w:rsidR="00FA56FD" w:rsidRPr="00BF1F18" w:rsidRDefault="00FA56FD" w:rsidP="00FA56FD">
      <w:pPr>
        <w:rPr>
          <w:rFonts w:ascii="Times New Roman" w:hAnsi="Times New Roman" w:cs="Times New Roman"/>
        </w:rPr>
      </w:pPr>
      <w:r w:rsidRPr="00BF1F18">
        <w:rPr>
          <w:rFonts w:ascii="Times New Roman" w:hAnsi="Times New Roman" w:cs="Times New Roman"/>
        </w:rPr>
        <w:t>Zamawiający wyraźnie w OPZ informuje, że routery serii  4000 jednymi z wielu modeli, które spełniają wymagania Zamawiającego, i podane są jako przykład. Wykonawca może zaoferować inne modele które spełniają szczegółowe wymagania opisane w punkcje 4.1. Ponadto Zamawiający nie wymaga urządzeń fabrycznie nowych, Wykonawca może zaoferować urządzenia używane, aczkolwiek z gwarancją którą udzieli na cały okres dzierżawy.</w:t>
      </w:r>
    </w:p>
    <w:p w:rsidR="00FA56FD" w:rsidRPr="00BF1F18" w:rsidRDefault="00FA56FD" w:rsidP="00FA56FD">
      <w:pPr>
        <w:shd w:val="clear" w:color="auto" w:fill="FFFFFF"/>
        <w:spacing w:after="0" w:line="240" w:lineRule="auto"/>
        <w:rPr>
          <w:rFonts w:ascii="Times New Roman" w:eastAsia="Times New Roman" w:hAnsi="Times New Roman" w:cs="Times New Roman"/>
          <w:lang w:eastAsia="pl-PL"/>
        </w:rPr>
      </w:pPr>
    </w:p>
    <w:p w:rsidR="00FA56FD" w:rsidRPr="00BF1F18" w:rsidRDefault="00FA56FD" w:rsidP="00FA56FD">
      <w:pPr>
        <w:jc w:val="both"/>
        <w:rPr>
          <w:rFonts w:ascii="Times New Roman" w:hAnsi="Times New Roman" w:cs="Times New Roman"/>
          <w:b/>
          <w:u w:val="single"/>
        </w:rPr>
      </w:pPr>
      <w:r w:rsidRPr="00BF1F18">
        <w:rPr>
          <w:rFonts w:ascii="Times New Roman" w:hAnsi="Times New Roman" w:cs="Times New Roman"/>
          <w:b/>
          <w:u w:val="single"/>
        </w:rPr>
        <w:t>Pytanie 8</w:t>
      </w:r>
    </w:p>
    <w:p w:rsidR="00FA56FD" w:rsidRDefault="00FA56FD" w:rsidP="00FA56FD">
      <w:pPr>
        <w:shd w:val="clear" w:color="auto" w:fill="FFFFFF"/>
        <w:spacing w:after="0" w:line="240" w:lineRule="auto"/>
        <w:rPr>
          <w:rFonts w:ascii="Times New Roman" w:eastAsia="Times New Roman" w:hAnsi="Times New Roman" w:cs="Times New Roman"/>
          <w:lang w:eastAsia="pl-PL"/>
        </w:rPr>
      </w:pPr>
      <w:r w:rsidRPr="00BF1F18">
        <w:rPr>
          <w:rFonts w:ascii="Times New Roman" w:eastAsia="Times New Roman" w:hAnsi="Times New Roman" w:cs="Times New Roman"/>
          <w:lang w:eastAsia="pl-PL"/>
        </w:rPr>
        <w:t xml:space="preserve">Zamawiający wskazał jako część zamówienia, dzierżawę par miedzianych. Na rynku telekomunikacyjnym praktycznie niemożliwe jest już wydzierżawienie par miedzianych </w:t>
      </w:r>
      <w:r w:rsidRPr="00BF1F18">
        <w:rPr>
          <w:rFonts w:ascii="Times New Roman" w:eastAsia="Times New Roman" w:hAnsi="Times New Roman" w:cs="Times New Roman"/>
          <w:lang w:eastAsia="pl-PL"/>
        </w:rPr>
        <w:lastRenderedPageBreak/>
        <w:t>niezwiązanych z usługami typu DSL, czyli związanych z transmisją danych. Prosimy o usunięcie tej części ze specyfikacji lub odpowiednią jej modyfikację.</w:t>
      </w:r>
    </w:p>
    <w:p w:rsidR="00FA56FD" w:rsidRPr="00BF1F18" w:rsidRDefault="00FA56FD" w:rsidP="00FA56FD">
      <w:pPr>
        <w:shd w:val="clear" w:color="auto" w:fill="FFFFFF"/>
        <w:spacing w:after="0" w:line="240" w:lineRule="auto"/>
        <w:rPr>
          <w:rFonts w:ascii="Times New Roman" w:eastAsia="Times New Roman" w:hAnsi="Times New Roman" w:cs="Times New Roman"/>
          <w:lang w:eastAsia="pl-PL"/>
        </w:rPr>
      </w:pPr>
    </w:p>
    <w:p w:rsidR="00FA56FD" w:rsidRPr="00BF1F18" w:rsidRDefault="00FA56FD" w:rsidP="00FA56FD">
      <w:pPr>
        <w:jc w:val="both"/>
        <w:rPr>
          <w:rFonts w:ascii="Times New Roman" w:hAnsi="Times New Roman" w:cs="Times New Roman"/>
          <w:b/>
          <w:u w:val="single"/>
        </w:rPr>
      </w:pPr>
      <w:r w:rsidRPr="00BF1F18">
        <w:rPr>
          <w:rFonts w:ascii="Times New Roman" w:hAnsi="Times New Roman" w:cs="Times New Roman"/>
          <w:b/>
          <w:u w:val="single"/>
        </w:rPr>
        <w:t>Odp. na pytanie 8:</w:t>
      </w:r>
    </w:p>
    <w:p w:rsidR="00FA56FD" w:rsidRDefault="00FA56FD" w:rsidP="00FA56FD">
      <w:pPr>
        <w:spacing w:after="0" w:line="240" w:lineRule="auto"/>
        <w:jc w:val="both"/>
        <w:rPr>
          <w:rFonts w:ascii="Arial Black" w:eastAsiaTheme="minorEastAsia" w:hAnsi="Arial Black"/>
          <w:b/>
          <w:color w:val="FF0000"/>
          <w:u w:val="single"/>
          <w:lang w:eastAsia="pl-PL"/>
        </w:rPr>
      </w:pPr>
      <w:r w:rsidRPr="00BF1F18">
        <w:rPr>
          <w:rFonts w:ascii="Times New Roman" w:hAnsi="Times New Roman" w:cs="Times New Roman"/>
        </w:rPr>
        <w:t>Zamawiający informuje, że jest możliwość dzierżawy „czystych” par miedzianych niezwiązanych z dodatkowymi usługami w lokalizacjach wymaganych w OPZ. Jednocześnie informuję że Wykonawca może wybudować własny kabel i zaoferować dzierżawę par miedzianych</w:t>
      </w:r>
    </w:p>
    <w:p w:rsidR="0058082A" w:rsidRDefault="0058082A" w:rsidP="0008470E">
      <w:pPr>
        <w:spacing w:after="0" w:line="240" w:lineRule="auto"/>
        <w:jc w:val="both"/>
        <w:rPr>
          <w:rFonts w:ascii="Arial Black" w:eastAsiaTheme="minorEastAsia" w:hAnsi="Arial Black"/>
          <w:b/>
          <w:color w:val="FF0000"/>
          <w:u w:val="single"/>
          <w:lang w:eastAsia="pl-PL"/>
        </w:rPr>
      </w:pPr>
    </w:p>
    <w:p w:rsidR="00BC7683" w:rsidRDefault="00BC7683" w:rsidP="0008470E">
      <w:pPr>
        <w:spacing w:after="0" w:line="240" w:lineRule="auto"/>
        <w:jc w:val="both"/>
        <w:rPr>
          <w:rFonts w:ascii="Arial Black" w:eastAsiaTheme="minorEastAsia" w:hAnsi="Arial Black"/>
          <w:b/>
          <w:color w:val="FF0000"/>
          <w:u w:val="single"/>
          <w:lang w:eastAsia="pl-PL"/>
        </w:rPr>
      </w:pPr>
    </w:p>
    <w:p w:rsidR="008C2E24" w:rsidRPr="00A9550A" w:rsidRDefault="000049CE" w:rsidP="00DD1548">
      <w:pPr>
        <w:spacing w:after="0" w:line="240" w:lineRule="auto"/>
        <w:rPr>
          <w:rFonts w:ascii="Times New Roman" w:eastAsia="Times New Roman" w:hAnsi="Times New Roman" w:cs="Times New Roman"/>
          <w:color w:val="FF0000"/>
          <w:lang w:eastAsia="pl-PL"/>
        </w:rPr>
      </w:pPr>
      <w:r w:rsidRPr="00A9550A">
        <w:rPr>
          <w:rFonts w:ascii="Times New Roman" w:eastAsia="Times New Roman" w:hAnsi="Times New Roman" w:cs="Times New Roman"/>
          <w:lang w:eastAsia="pl-PL"/>
        </w:rPr>
        <w:t>Zamawiający informuje, że nie zmienia zapisów SWZ</w:t>
      </w:r>
    </w:p>
    <w:p w:rsidR="00C81535" w:rsidRPr="00A9550A" w:rsidRDefault="00C81535" w:rsidP="00DD1548">
      <w:pPr>
        <w:spacing w:after="0" w:line="240" w:lineRule="auto"/>
        <w:rPr>
          <w:rFonts w:ascii="Times New Roman" w:eastAsia="Times New Roman" w:hAnsi="Times New Roman" w:cs="Times New Roman"/>
          <w:lang w:eastAsia="pl-PL"/>
        </w:rPr>
      </w:pPr>
    </w:p>
    <w:p w:rsidR="000A6186" w:rsidRPr="00A9550A" w:rsidRDefault="000A6186" w:rsidP="000A6186">
      <w:pPr>
        <w:spacing w:after="0" w:line="240" w:lineRule="auto"/>
        <w:rPr>
          <w:rFonts w:ascii="Times New Roman" w:eastAsia="Times New Roman" w:hAnsi="Times New Roman" w:cs="Times New Roman"/>
          <w:color w:val="FF0000"/>
          <w:lang w:eastAsia="pl-PL"/>
        </w:rPr>
      </w:pPr>
    </w:p>
    <w:p w:rsidR="00FA56FD" w:rsidRDefault="00FA56FD" w:rsidP="008C2E24">
      <w:pPr>
        <w:spacing w:after="0" w:line="240" w:lineRule="auto"/>
        <w:ind w:left="2832"/>
        <w:jc w:val="both"/>
        <w:rPr>
          <w:rFonts w:ascii="Times New Roman" w:eastAsia="Times New Roman" w:hAnsi="Times New Roman" w:cs="Times New Roman"/>
          <w:lang w:eastAsia="pl-PL"/>
        </w:rPr>
      </w:pPr>
    </w:p>
    <w:p w:rsidR="008C2E24" w:rsidRPr="00A9550A" w:rsidRDefault="008C2E24" w:rsidP="008C2E24">
      <w:pPr>
        <w:spacing w:after="0" w:line="240" w:lineRule="auto"/>
        <w:ind w:left="2832"/>
        <w:jc w:val="both"/>
        <w:rPr>
          <w:rFonts w:ascii="Times New Roman" w:eastAsia="Times New Roman" w:hAnsi="Times New Roman" w:cs="Times New Roman"/>
          <w:color w:val="FF0000"/>
          <w:lang w:eastAsia="pl-PL"/>
        </w:rPr>
      </w:pPr>
      <w:r w:rsidRPr="00A9550A">
        <w:rPr>
          <w:rFonts w:ascii="Times New Roman" w:eastAsia="Times New Roman" w:hAnsi="Times New Roman" w:cs="Times New Roman"/>
          <w:color w:val="FF0000"/>
          <w:lang w:eastAsia="pl-PL"/>
        </w:rPr>
        <w:t xml:space="preserve">     </w:t>
      </w:r>
    </w:p>
    <w:p w:rsidR="000D20D8" w:rsidRDefault="000D20D8" w:rsidP="00490B66">
      <w:pPr>
        <w:spacing w:after="0" w:line="240" w:lineRule="auto"/>
        <w:ind w:left="5664" w:firstLine="708"/>
        <w:rPr>
          <w:rFonts w:ascii="Times New Roman" w:eastAsia="Times New Roman" w:hAnsi="Times New Roman" w:cs="Times New Roman"/>
          <w:b/>
          <w:i/>
          <w:iCs/>
        </w:rPr>
      </w:pPr>
    </w:p>
    <w:p w:rsidR="000D20D8" w:rsidRDefault="000D20D8" w:rsidP="00490B66">
      <w:pPr>
        <w:spacing w:after="0" w:line="240" w:lineRule="auto"/>
        <w:ind w:left="5664" w:firstLine="708"/>
        <w:rPr>
          <w:rFonts w:ascii="Times New Roman" w:eastAsia="Times New Roman" w:hAnsi="Times New Roman" w:cs="Times New Roman"/>
          <w:b/>
          <w:i/>
          <w:iCs/>
        </w:rPr>
      </w:pPr>
    </w:p>
    <w:p w:rsidR="000D20D8" w:rsidRDefault="000D20D8" w:rsidP="00490B66">
      <w:pPr>
        <w:spacing w:after="0" w:line="240" w:lineRule="auto"/>
        <w:ind w:left="5664" w:firstLine="708"/>
        <w:rPr>
          <w:rFonts w:ascii="Times New Roman" w:eastAsia="Times New Roman" w:hAnsi="Times New Roman" w:cs="Times New Roman"/>
          <w:b/>
          <w:i/>
          <w:iCs/>
        </w:rPr>
      </w:pPr>
    </w:p>
    <w:p w:rsidR="008C2E24" w:rsidRDefault="00490B66" w:rsidP="000D20D8">
      <w:pPr>
        <w:spacing w:after="0" w:line="240" w:lineRule="auto"/>
        <w:ind w:left="5664" w:firstLine="708"/>
        <w:rPr>
          <w:rFonts w:ascii="Times New Roman" w:eastAsia="Times New Roman" w:hAnsi="Times New Roman" w:cs="Times New Roman"/>
          <w:b/>
          <w:i/>
          <w:iCs/>
        </w:rPr>
      </w:pPr>
      <w:r w:rsidRPr="00A9550A">
        <w:rPr>
          <w:rFonts w:ascii="Times New Roman" w:eastAsia="Times New Roman" w:hAnsi="Times New Roman" w:cs="Times New Roman"/>
          <w:b/>
          <w:i/>
          <w:iCs/>
        </w:rPr>
        <w:t>Z poważaniem</w:t>
      </w:r>
    </w:p>
    <w:p w:rsidR="000F168C" w:rsidRDefault="000F168C" w:rsidP="000D20D8">
      <w:pPr>
        <w:spacing w:after="0" w:line="240" w:lineRule="auto"/>
        <w:ind w:left="5664" w:firstLine="708"/>
        <w:rPr>
          <w:rFonts w:ascii="Times New Roman" w:eastAsia="Arial Black" w:hAnsi="Times New Roman" w:cs="Times New Roman"/>
          <w:b/>
          <w:i/>
          <w:color w:val="FF0000"/>
          <w:u w:val="single"/>
        </w:rPr>
      </w:pPr>
    </w:p>
    <w:p w:rsidR="000F168C" w:rsidRPr="00A9550A" w:rsidRDefault="000F168C" w:rsidP="000D20D8">
      <w:pPr>
        <w:spacing w:after="0" w:line="240" w:lineRule="auto"/>
        <w:ind w:left="5664" w:firstLine="708"/>
        <w:rPr>
          <w:rFonts w:ascii="Times New Roman" w:eastAsia="Arial Black" w:hAnsi="Times New Roman" w:cs="Times New Roman"/>
          <w:b/>
          <w:i/>
          <w:color w:val="FF0000"/>
          <w:u w:val="single"/>
        </w:rPr>
      </w:pPr>
    </w:p>
    <w:p w:rsidR="000F168C" w:rsidRPr="000F168C" w:rsidRDefault="000F168C" w:rsidP="000F168C">
      <w:pPr>
        <w:spacing w:after="0"/>
        <w:jc w:val="both"/>
        <w:rPr>
          <w:rFonts w:ascii="Times New Roman" w:hAnsi="Times New Roman" w:cs="Times New Roman"/>
        </w:rPr>
      </w:pPr>
      <w:r w:rsidRPr="000F168C">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r>
      <w:r>
        <w:rPr>
          <w:rFonts w:ascii="Times New Roman" w:eastAsiaTheme="minorEastAsia" w:hAnsi="Times New Roman" w:cs="Times New Roman"/>
          <w:sz w:val="24"/>
          <w:szCs w:val="24"/>
          <w:lang w:eastAsia="pl-PL"/>
        </w:rPr>
        <w:tab/>
      </w:r>
      <w:r w:rsidRPr="000F168C">
        <w:rPr>
          <w:rFonts w:ascii="Times New Roman" w:eastAsiaTheme="minorEastAsia" w:hAnsi="Times New Roman" w:cs="Times New Roman"/>
          <w:sz w:val="24"/>
          <w:szCs w:val="24"/>
          <w:lang w:eastAsia="pl-PL"/>
        </w:rPr>
        <w:t xml:space="preserve"> </w:t>
      </w:r>
      <w:r w:rsidRPr="000F168C">
        <w:rPr>
          <w:rFonts w:ascii="Times New Roman" w:eastAsia="Times New Roman" w:hAnsi="Times New Roman" w:cs="Times New Roman"/>
          <w:iCs/>
        </w:rPr>
        <w:t>Kierownik</w:t>
      </w:r>
    </w:p>
    <w:p w:rsidR="000F168C" w:rsidRPr="000F168C" w:rsidRDefault="000F168C" w:rsidP="000F168C">
      <w:pPr>
        <w:tabs>
          <w:tab w:val="left" w:pos="5670"/>
        </w:tabs>
        <w:spacing w:after="0"/>
        <w:ind w:left="4248"/>
        <w:jc w:val="center"/>
        <w:rPr>
          <w:rFonts w:ascii="Times New Roman" w:eastAsia="Times New Roman" w:hAnsi="Times New Roman" w:cs="Times New Roman"/>
          <w:iCs/>
        </w:rPr>
      </w:pPr>
      <w:r w:rsidRPr="000F168C">
        <w:rPr>
          <w:rFonts w:ascii="Times New Roman" w:eastAsia="Times New Roman" w:hAnsi="Times New Roman" w:cs="Times New Roman"/>
          <w:iCs/>
        </w:rPr>
        <w:t>Sekcji Zamówień Publicznych</w:t>
      </w:r>
    </w:p>
    <w:p w:rsidR="000F168C" w:rsidRPr="000F168C" w:rsidRDefault="000F168C" w:rsidP="000F168C">
      <w:pPr>
        <w:tabs>
          <w:tab w:val="left" w:pos="5670"/>
        </w:tabs>
        <w:spacing w:after="0"/>
        <w:ind w:left="4248"/>
        <w:jc w:val="center"/>
        <w:rPr>
          <w:rFonts w:ascii="Times New Roman" w:eastAsia="Times New Roman" w:hAnsi="Times New Roman" w:cs="Times New Roman"/>
          <w:iCs/>
        </w:rPr>
      </w:pPr>
      <w:r w:rsidRPr="000F168C">
        <w:rPr>
          <w:rFonts w:ascii="Times New Roman" w:eastAsia="Times New Roman" w:hAnsi="Times New Roman" w:cs="Times New Roman"/>
          <w:iCs/>
        </w:rPr>
        <w:t>KWP z s. w Radomiu</w:t>
      </w:r>
    </w:p>
    <w:p w:rsidR="000F168C" w:rsidRPr="000F168C" w:rsidRDefault="000F168C" w:rsidP="000F168C">
      <w:pPr>
        <w:spacing w:after="0"/>
        <w:ind w:left="4956" w:firstLine="708"/>
        <w:jc w:val="both"/>
        <w:rPr>
          <w:rFonts w:ascii="Times New Roman" w:eastAsia="Times New Roman" w:hAnsi="Times New Roman" w:cs="Times New Roman"/>
          <w:iCs/>
        </w:rPr>
      </w:pPr>
      <w:r w:rsidRPr="000F168C">
        <w:rPr>
          <w:rFonts w:ascii="Times New Roman" w:eastAsia="Times New Roman" w:hAnsi="Times New Roman" w:cs="Times New Roman"/>
          <w:iCs/>
        </w:rPr>
        <w:t>Justyna Kowalska</w:t>
      </w:r>
    </w:p>
    <w:p w:rsidR="000F168C" w:rsidRPr="000F168C" w:rsidRDefault="000F168C" w:rsidP="000F168C">
      <w:pPr>
        <w:spacing w:after="0"/>
        <w:jc w:val="both"/>
        <w:rPr>
          <w:rFonts w:ascii="Times New Roman" w:eastAsia="Times New Roman" w:hAnsi="Times New Roman" w:cs="Times New Roman"/>
          <w:iCs/>
        </w:rPr>
      </w:pPr>
    </w:p>
    <w:p w:rsidR="008C2E24" w:rsidRDefault="008C2E24" w:rsidP="0008470E">
      <w:pPr>
        <w:spacing w:after="0" w:line="240" w:lineRule="auto"/>
        <w:jc w:val="center"/>
        <w:rPr>
          <w:rFonts w:ascii="Times New Roman" w:eastAsia="Arial Black" w:hAnsi="Times New Roman" w:cs="Times New Roman"/>
          <w:b/>
          <w:color w:val="FF0000"/>
          <w:sz w:val="20"/>
          <w:szCs w:val="20"/>
          <w:u w:val="single"/>
        </w:rPr>
      </w:pPr>
    </w:p>
    <w:p w:rsidR="000D20D8" w:rsidRPr="006A327D" w:rsidRDefault="000D20D8" w:rsidP="000D20D8">
      <w:pPr>
        <w:tabs>
          <w:tab w:val="left" w:pos="0"/>
        </w:tabs>
        <w:spacing w:after="0" w:line="240" w:lineRule="auto"/>
        <w:rPr>
          <w:rFonts w:ascii="Times New Roman" w:eastAsia="Times New Roman" w:hAnsi="Times New Roman" w:cs="Times New Roman"/>
          <w:iCs/>
        </w:rPr>
      </w:pPr>
    </w:p>
    <w:p w:rsidR="000D20D8" w:rsidRPr="006A327D" w:rsidRDefault="000D20D8" w:rsidP="000D20D8">
      <w:pPr>
        <w:tabs>
          <w:tab w:val="left" w:pos="0"/>
        </w:tabs>
        <w:spacing w:after="0" w:line="240" w:lineRule="auto"/>
        <w:rPr>
          <w:rFonts w:ascii="Times New Roman" w:eastAsiaTheme="minorEastAsia" w:hAnsi="Times New Roman" w:cs="Times New Roman"/>
          <w:sz w:val="16"/>
          <w:szCs w:val="16"/>
          <w:lang w:eastAsia="pl-PL"/>
        </w:rPr>
      </w:pPr>
    </w:p>
    <w:p w:rsidR="000D20D8" w:rsidRPr="00497C6E" w:rsidRDefault="000D20D8" w:rsidP="0008470E">
      <w:pPr>
        <w:spacing w:after="0" w:line="240" w:lineRule="auto"/>
        <w:jc w:val="center"/>
        <w:rPr>
          <w:rFonts w:ascii="Times New Roman" w:eastAsia="Arial Black" w:hAnsi="Times New Roman" w:cs="Times New Roman"/>
          <w:b/>
          <w:color w:val="FF0000"/>
          <w:sz w:val="20"/>
          <w:szCs w:val="20"/>
          <w:u w:val="single"/>
        </w:rPr>
      </w:pPr>
    </w:p>
    <w:p w:rsidR="008C2E24" w:rsidRPr="00497C6E" w:rsidRDefault="008C2E24" w:rsidP="0008470E">
      <w:pPr>
        <w:spacing w:after="0" w:line="240" w:lineRule="auto"/>
        <w:jc w:val="center"/>
        <w:rPr>
          <w:rFonts w:ascii="Times New Roman" w:eastAsia="Arial Black" w:hAnsi="Times New Roman" w:cs="Times New Roman"/>
          <w:b/>
          <w:color w:val="FF0000"/>
          <w:sz w:val="20"/>
          <w:szCs w:val="20"/>
          <w:u w:val="single"/>
        </w:rPr>
      </w:pPr>
    </w:p>
    <w:p w:rsidR="008C2E24" w:rsidRPr="00497C6E" w:rsidRDefault="008C2E24" w:rsidP="0008470E">
      <w:pPr>
        <w:spacing w:after="0" w:line="240" w:lineRule="auto"/>
        <w:jc w:val="center"/>
        <w:rPr>
          <w:rFonts w:ascii="Times New Roman" w:eastAsia="Arial Black" w:hAnsi="Times New Roman" w:cs="Times New Roman"/>
          <w:b/>
          <w:color w:val="FF0000"/>
          <w:sz w:val="20"/>
          <w:szCs w:val="20"/>
          <w:u w:val="single"/>
        </w:rPr>
      </w:pPr>
    </w:p>
    <w:p w:rsidR="008C2E24" w:rsidRPr="00497C6E" w:rsidRDefault="008C2E24" w:rsidP="0008470E">
      <w:pPr>
        <w:spacing w:after="0" w:line="240" w:lineRule="auto"/>
        <w:jc w:val="center"/>
        <w:rPr>
          <w:rFonts w:ascii="Times New Roman" w:eastAsia="Arial Black" w:hAnsi="Times New Roman" w:cs="Times New Roman"/>
          <w:b/>
          <w:color w:val="FF0000"/>
          <w:sz w:val="20"/>
          <w:szCs w:val="20"/>
          <w:u w:val="single"/>
        </w:rPr>
      </w:pPr>
    </w:p>
    <w:p w:rsidR="008C2E24" w:rsidRPr="00497C6E" w:rsidRDefault="008C2E24" w:rsidP="0008470E">
      <w:pPr>
        <w:spacing w:after="0" w:line="240" w:lineRule="auto"/>
        <w:jc w:val="center"/>
        <w:rPr>
          <w:rFonts w:ascii="Times New Roman" w:eastAsia="Arial Black" w:hAnsi="Times New Roman" w:cs="Times New Roman"/>
          <w:b/>
          <w:color w:val="FF0000"/>
          <w:sz w:val="20"/>
          <w:szCs w:val="20"/>
          <w:u w:val="single"/>
        </w:rPr>
      </w:pPr>
    </w:p>
    <w:p w:rsidR="0008470E" w:rsidRPr="00497C6E" w:rsidRDefault="0008470E" w:rsidP="0008470E">
      <w:pPr>
        <w:spacing w:after="0" w:line="240" w:lineRule="auto"/>
        <w:ind w:left="6372" w:firstLine="7"/>
        <w:jc w:val="both"/>
        <w:rPr>
          <w:rFonts w:ascii="Times New Roman" w:eastAsiaTheme="minorEastAsia" w:hAnsi="Times New Roman" w:cs="Times New Roman"/>
          <w:b/>
          <w:bCs/>
          <w:i/>
          <w:iCs/>
          <w:color w:val="000000" w:themeColor="text1"/>
          <w:sz w:val="20"/>
          <w:szCs w:val="20"/>
          <w:lang w:eastAsia="pl-PL"/>
        </w:rPr>
      </w:pPr>
    </w:p>
    <w:p w:rsidR="0008470E" w:rsidRPr="00497C6E" w:rsidRDefault="0008470E" w:rsidP="0008470E">
      <w:pPr>
        <w:spacing w:after="0" w:line="240" w:lineRule="auto"/>
        <w:ind w:firstLine="708"/>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ind w:firstLine="708"/>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ind w:firstLine="708"/>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A9550A" w:rsidRDefault="00A9550A"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A9342E" w:rsidRDefault="00A934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A9342E" w:rsidRDefault="00A934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A9342E" w:rsidRDefault="00A934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A9342E" w:rsidRDefault="00A934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A9342E" w:rsidRPr="00497C6E" w:rsidRDefault="00A9342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834897" w:rsidRDefault="00834897" w:rsidP="0008470E">
      <w:pPr>
        <w:spacing w:after="0" w:line="276" w:lineRule="auto"/>
        <w:jc w:val="both"/>
        <w:rPr>
          <w:rFonts w:ascii="Times New Roman" w:eastAsiaTheme="minorEastAsia" w:hAnsi="Times New Roman" w:cs="Times New Roman"/>
          <w:color w:val="000000" w:themeColor="text1"/>
          <w:sz w:val="20"/>
          <w:szCs w:val="20"/>
          <w:lang w:eastAsia="pl-PL"/>
        </w:rPr>
      </w:pPr>
      <w:bookmarkStart w:id="0" w:name="_GoBack"/>
      <w:bookmarkEnd w:id="0"/>
    </w:p>
    <w:p w:rsidR="00834897" w:rsidRDefault="00834897"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834897" w:rsidRPr="00497C6E" w:rsidRDefault="00834897"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A9550A" w:rsidRPr="006A327D" w:rsidRDefault="00A9550A" w:rsidP="00A9550A">
      <w:pPr>
        <w:spacing w:after="0" w:line="240" w:lineRule="auto"/>
        <w:rPr>
          <w:rFonts w:ascii="Times New Roman" w:eastAsiaTheme="minorEastAsia" w:hAnsi="Times New Roman" w:cs="Times New Roman"/>
          <w:i/>
          <w:sz w:val="16"/>
          <w:szCs w:val="16"/>
          <w:lang w:eastAsia="pl-PL"/>
        </w:rPr>
      </w:pPr>
      <w:r w:rsidRPr="006A327D">
        <w:rPr>
          <w:rFonts w:ascii="Times New Roman" w:eastAsiaTheme="minorEastAsia" w:hAnsi="Times New Roman" w:cs="Times New Roman"/>
          <w:i/>
          <w:sz w:val="16"/>
          <w:szCs w:val="16"/>
          <w:lang w:eastAsia="pl-PL"/>
        </w:rPr>
        <w:t>Wyk. 1egz.</w:t>
      </w:r>
    </w:p>
    <w:p w:rsidR="00A9550A" w:rsidRPr="00A9550A" w:rsidRDefault="00A9550A" w:rsidP="00A9550A">
      <w:pPr>
        <w:spacing w:after="0" w:line="240" w:lineRule="auto"/>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 xml:space="preserve">Wyjaśnienia </w:t>
      </w:r>
      <w:r w:rsidRPr="006A327D">
        <w:rPr>
          <w:rFonts w:ascii="Times New Roman" w:eastAsia="Times New Roman" w:hAnsi="Times New Roman" w:cs="Times New Roman"/>
          <w:i/>
          <w:sz w:val="16"/>
          <w:szCs w:val="16"/>
          <w:lang w:eastAsia="pl-PL"/>
        </w:rPr>
        <w:t xml:space="preserve"> przesłano za pośrednictwem  platformy  zakupowej Open </w:t>
      </w:r>
      <w:proofErr w:type="spellStart"/>
      <w:r w:rsidRPr="006A327D">
        <w:rPr>
          <w:rFonts w:ascii="Times New Roman" w:eastAsia="Times New Roman" w:hAnsi="Times New Roman" w:cs="Times New Roman"/>
          <w:i/>
          <w:sz w:val="16"/>
          <w:szCs w:val="16"/>
          <w:lang w:eastAsia="pl-PL"/>
        </w:rPr>
        <w:t>Nexus</w:t>
      </w:r>
      <w:proofErr w:type="spellEnd"/>
      <w:r w:rsidRPr="00FE2706">
        <w:rPr>
          <w:rFonts w:ascii="Times New Roman" w:eastAsia="Times New Roman" w:hAnsi="Times New Roman" w:cs="Times New Roman"/>
          <w:i/>
          <w:sz w:val="16"/>
          <w:szCs w:val="16"/>
          <w:lang w:eastAsia="pl-PL"/>
        </w:rPr>
        <w:t xml:space="preserve">,  </w:t>
      </w:r>
      <w:hyperlink r:id="rId6" w:history="1">
        <w:r w:rsidR="00FE2706" w:rsidRPr="00FE2706">
          <w:rPr>
            <w:rStyle w:val="Hipercze"/>
            <w:rFonts w:ascii="Times New Roman" w:eastAsia="Times New Roman" w:hAnsi="Times New Roman" w:cs="Times New Roman"/>
            <w:i/>
            <w:sz w:val="16"/>
            <w:szCs w:val="16"/>
            <w:u w:val="none"/>
            <w:lang w:eastAsia="pl-PL"/>
          </w:rPr>
          <w:t>www.platformazakupowa.pl/pn/kwp_radom</w:t>
        </w:r>
      </w:hyperlink>
      <w:r w:rsidRPr="00A9550A">
        <w:rPr>
          <w:rFonts w:ascii="Times New Roman" w:eastAsia="Times New Roman" w:hAnsi="Times New Roman" w:cs="Times New Roman"/>
          <w:i/>
          <w:sz w:val="16"/>
          <w:szCs w:val="16"/>
          <w:lang w:eastAsia="pl-PL"/>
        </w:rPr>
        <w:t xml:space="preserve"> w dniu  </w:t>
      </w:r>
      <w:r w:rsidR="000F168C">
        <w:rPr>
          <w:rFonts w:ascii="Times New Roman" w:eastAsia="Times New Roman" w:hAnsi="Times New Roman" w:cs="Times New Roman"/>
          <w:i/>
          <w:sz w:val="16"/>
          <w:szCs w:val="16"/>
          <w:lang w:eastAsia="pl-PL"/>
        </w:rPr>
        <w:t xml:space="preserve"> 04.07.2024r. </w:t>
      </w:r>
    </w:p>
    <w:p w:rsidR="00A9550A" w:rsidRPr="00A9550A" w:rsidRDefault="00A9550A" w:rsidP="00A9550A">
      <w:pPr>
        <w:spacing w:after="0" w:line="240" w:lineRule="auto"/>
        <w:rPr>
          <w:rFonts w:ascii="Times New Roman" w:eastAsia="Times New Roman" w:hAnsi="Times New Roman" w:cs="Times New Roman"/>
          <w:i/>
          <w:sz w:val="16"/>
          <w:szCs w:val="16"/>
          <w:lang w:eastAsia="pl-PL"/>
        </w:rPr>
      </w:pPr>
      <w:r w:rsidRPr="00A9550A">
        <w:rPr>
          <w:rFonts w:ascii="Times New Roman" w:eastAsia="Times New Roman" w:hAnsi="Times New Roman" w:cs="Times New Roman"/>
          <w:i/>
          <w:sz w:val="16"/>
          <w:szCs w:val="16"/>
          <w:lang w:eastAsia="pl-PL"/>
        </w:rPr>
        <w:t>Opr. E.P.</w:t>
      </w:r>
      <w:r w:rsidR="000F168C">
        <w:rPr>
          <w:rFonts w:ascii="Times New Roman" w:eastAsia="Times New Roman" w:hAnsi="Times New Roman" w:cs="Times New Roman"/>
          <w:i/>
          <w:sz w:val="16"/>
          <w:szCs w:val="16"/>
          <w:lang w:eastAsia="pl-PL"/>
        </w:rPr>
        <w:t>G</w:t>
      </w:r>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color w:val="FF0000"/>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290641" w:rsidRDefault="0008470E" w:rsidP="0008470E">
      <w:pPr>
        <w:spacing w:after="0" w:line="240" w:lineRule="auto"/>
        <w:rPr>
          <w:rFonts w:eastAsiaTheme="minorEastAsia"/>
          <w:lang w:eastAsia="pl-PL"/>
        </w:rPr>
      </w:pPr>
    </w:p>
    <w:p w:rsidR="0008470E" w:rsidRPr="00290641" w:rsidRDefault="0008470E" w:rsidP="0008470E">
      <w:pPr>
        <w:spacing w:after="0" w:line="240" w:lineRule="auto"/>
        <w:rPr>
          <w:rFonts w:eastAsiaTheme="minorEastAsia"/>
          <w:lang w:eastAsia="pl-PL"/>
        </w:rPr>
      </w:pPr>
    </w:p>
    <w:p w:rsidR="0008470E" w:rsidRPr="00290641" w:rsidRDefault="0008470E" w:rsidP="0008470E">
      <w:pPr>
        <w:spacing w:after="0" w:line="240" w:lineRule="auto"/>
        <w:rPr>
          <w:rFonts w:eastAsiaTheme="minorEastAsia"/>
          <w:lang w:eastAsia="pl-PL"/>
        </w:rPr>
      </w:pPr>
    </w:p>
    <w:p w:rsidR="0008470E" w:rsidRPr="00290641" w:rsidRDefault="0008470E" w:rsidP="0008470E"/>
    <w:p w:rsidR="0008470E" w:rsidRPr="00290641" w:rsidRDefault="0008470E" w:rsidP="0008470E"/>
    <w:p w:rsidR="0008470E" w:rsidRPr="00290641" w:rsidRDefault="0008470E" w:rsidP="0008470E"/>
    <w:p w:rsidR="0008470E" w:rsidRPr="00290641" w:rsidRDefault="0008470E" w:rsidP="0008470E"/>
    <w:p w:rsidR="0008470E" w:rsidRDefault="0008470E" w:rsidP="0008470E"/>
    <w:p w:rsidR="0008470E" w:rsidRDefault="0008470E" w:rsidP="0008470E">
      <w:pPr>
        <w:spacing w:after="0" w:line="240" w:lineRule="auto"/>
        <w:ind w:left="450"/>
        <w:jc w:val="center"/>
        <w:rPr>
          <w:rFonts w:ascii="Arial Black" w:eastAsia="Times New Roman" w:hAnsi="Arial Black" w:cs="Times New Roman"/>
          <w:b/>
          <w:sz w:val="20"/>
          <w:szCs w:val="20"/>
          <w:u w:val="single"/>
          <w:lang w:eastAsia="pl-PL"/>
        </w:rPr>
      </w:pPr>
    </w:p>
    <w:p w:rsidR="0008470E" w:rsidRDefault="0008470E" w:rsidP="0008470E"/>
    <w:p w:rsidR="0008470E" w:rsidRDefault="0008470E" w:rsidP="0008470E"/>
    <w:p w:rsidR="0008470E" w:rsidRDefault="0008470E" w:rsidP="0008470E"/>
    <w:p w:rsidR="00CD3B62" w:rsidRDefault="00E03BDF"/>
    <w:sectPr w:rsidR="00CD3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0AA"/>
    <w:multiLevelType w:val="hybridMultilevel"/>
    <w:tmpl w:val="44FCDB7C"/>
    <w:lvl w:ilvl="0" w:tplc="C03EBEC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15C18"/>
    <w:multiLevelType w:val="hybridMultilevel"/>
    <w:tmpl w:val="18E2F5C4"/>
    <w:lvl w:ilvl="0" w:tplc="8B442356">
      <w:start w:val="3"/>
      <w:numFmt w:val="decimal"/>
      <w:lvlText w:val="%1)"/>
      <w:lvlJc w:val="left"/>
      <w:pPr>
        <w:tabs>
          <w:tab w:val="num" w:pos="810"/>
        </w:tabs>
        <w:ind w:left="810" w:hanging="450"/>
      </w:pPr>
      <w:rPr>
        <w:rFonts w:hint="default"/>
        <w:b/>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8801706"/>
    <w:multiLevelType w:val="hybridMultilevel"/>
    <w:tmpl w:val="34E244AE"/>
    <w:lvl w:ilvl="0" w:tplc="7B700558">
      <w:start w:val="5"/>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A9A0EB8"/>
    <w:multiLevelType w:val="hybridMultilevel"/>
    <w:tmpl w:val="02FCEE4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5C3C3F"/>
    <w:multiLevelType w:val="hybridMultilevel"/>
    <w:tmpl w:val="D2AA5C62"/>
    <w:lvl w:ilvl="0" w:tplc="DEB0B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5834B0"/>
    <w:multiLevelType w:val="hybridMultilevel"/>
    <w:tmpl w:val="140C6258"/>
    <w:lvl w:ilvl="0" w:tplc="7B700558">
      <w:start w:val="5"/>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04D5DB8"/>
    <w:multiLevelType w:val="hybridMultilevel"/>
    <w:tmpl w:val="6A501964"/>
    <w:lvl w:ilvl="0" w:tplc="2660A2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DA42C3F"/>
    <w:multiLevelType w:val="hybridMultilevel"/>
    <w:tmpl w:val="5EB60686"/>
    <w:lvl w:ilvl="0" w:tplc="3B4E8F94">
      <w:start w:val="3"/>
      <w:numFmt w:val="decimal"/>
      <w:lvlText w:val="%1)"/>
      <w:lvlJc w:val="left"/>
      <w:pPr>
        <w:tabs>
          <w:tab w:val="num" w:pos="810"/>
        </w:tabs>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A7645C"/>
    <w:multiLevelType w:val="hybridMultilevel"/>
    <w:tmpl w:val="DAAED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8"/>
  </w:num>
  <w:num w:numId="5">
    <w:abstractNumId w:val="3"/>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BA"/>
    <w:rsid w:val="000013E5"/>
    <w:rsid w:val="000049CE"/>
    <w:rsid w:val="000125E3"/>
    <w:rsid w:val="000745CF"/>
    <w:rsid w:val="0008166D"/>
    <w:rsid w:val="0008470E"/>
    <w:rsid w:val="000A6186"/>
    <w:rsid w:val="000C34D2"/>
    <w:rsid w:val="000C6C15"/>
    <w:rsid w:val="000D20D8"/>
    <w:rsid w:val="000F168C"/>
    <w:rsid w:val="001001D6"/>
    <w:rsid w:val="001148C0"/>
    <w:rsid w:val="001222ED"/>
    <w:rsid w:val="00126FBC"/>
    <w:rsid w:val="001330A7"/>
    <w:rsid w:val="0015256D"/>
    <w:rsid w:val="001A3EA1"/>
    <w:rsid w:val="001B64AF"/>
    <w:rsid w:val="001C428F"/>
    <w:rsid w:val="0020650C"/>
    <w:rsid w:val="00206C87"/>
    <w:rsid w:val="00207B8A"/>
    <w:rsid w:val="0022455A"/>
    <w:rsid w:val="00233BDF"/>
    <w:rsid w:val="00251305"/>
    <w:rsid w:val="00281AC4"/>
    <w:rsid w:val="00286B36"/>
    <w:rsid w:val="00296177"/>
    <w:rsid w:val="003061D5"/>
    <w:rsid w:val="00306629"/>
    <w:rsid w:val="00321D89"/>
    <w:rsid w:val="00347548"/>
    <w:rsid w:val="00396289"/>
    <w:rsid w:val="003F2BFA"/>
    <w:rsid w:val="00400910"/>
    <w:rsid w:val="00412819"/>
    <w:rsid w:val="004351E0"/>
    <w:rsid w:val="00440544"/>
    <w:rsid w:val="00443624"/>
    <w:rsid w:val="0044366C"/>
    <w:rsid w:val="00457E7D"/>
    <w:rsid w:val="00470257"/>
    <w:rsid w:val="00490B66"/>
    <w:rsid w:val="00497C6E"/>
    <w:rsid w:val="004A0935"/>
    <w:rsid w:val="004B6457"/>
    <w:rsid w:val="004F6505"/>
    <w:rsid w:val="00503F94"/>
    <w:rsid w:val="005170AA"/>
    <w:rsid w:val="005425DB"/>
    <w:rsid w:val="00576728"/>
    <w:rsid w:val="0058082A"/>
    <w:rsid w:val="005B6400"/>
    <w:rsid w:val="005F687F"/>
    <w:rsid w:val="00616CF6"/>
    <w:rsid w:val="00637912"/>
    <w:rsid w:val="00637D79"/>
    <w:rsid w:val="00683C42"/>
    <w:rsid w:val="00690548"/>
    <w:rsid w:val="00696FE3"/>
    <w:rsid w:val="006C0B8E"/>
    <w:rsid w:val="006D3E42"/>
    <w:rsid w:val="006E55EF"/>
    <w:rsid w:val="006E570E"/>
    <w:rsid w:val="006F5C8E"/>
    <w:rsid w:val="007252A4"/>
    <w:rsid w:val="0076471E"/>
    <w:rsid w:val="007938A6"/>
    <w:rsid w:val="00794B2B"/>
    <w:rsid w:val="007A50BC"/>
    <w:rsid w:val="007B45E7"/>
    <w:rsid w:val="007D1496"/>
    <w:rsid w:val="007E271D"/>
    <w:rsid w:val="007E398F"/>
    <w:rsid w:val="007F5C45"/>
    <w:rsid w:val="008323C9"/>
    <w:rsid w:val="00834897"/>
    <w:rsid w:val="00834CBA"/>
    <w:rsid w:val="0086037F"/>
    <w:rsid w:val="00886C1D"/>
    <w:rsid w:val="008C2E24"/>
    <w:rsid w:val="008C767F"/>
    <w:rsid w:val="008D0A47"/>
    <w:rsid w:val="008F69BC"/>
    <w:rsid w:val="0093106E"/>
    <w:rsid w:val="00955CED"/>
    <w:rsid w:val="009564D0"/>
    <w:rsid w:val="009564DC"/>
    <w:rsid w:val="009632A1"/>
    <w:rsid w:val="00967418"/>
    <w:rsid w:val="00993B37"/>
    <w:rsid w:val="009A5F61"/>
    <w:rsid w:val="00A1373B"/>
    <w:rsid w:val="00A346FE"/>
    <w:rsid w:val="00A36FED"/>
    <w:rsid w:val="00A44517"/>
    <w:rsid w:val="00A71337"/>
    <w:rsid w:val="00A74479"/>
    <w:rsid w:val="00A82775"/>
    <w:rsid w:val="00A9342E"/>
    <w:rsid w:val="00A9550A"/>
    <w:rsid w:val="00AA000E"/>
    <w:rsid w:val="00AB78AE"/>
    <w:rsid w:val="00AD013D"/>
    <w:rsid w:val="00AD4963"/>
    <w:rsid w:val="00AF3B1F"/>
    <w:rsid w:val="00B222F2"/>
    <w:rsid w:val="00B2266A"/>
    <w:rsid w:val="00B24817"/>
    <w:rsid w:val="00B411DE"/>
    <w:rsid w:val="00B469C4"/>
    <w:rsid w:val="00B72A06"/>
    <w:rsid w:val="00B84BF1"/>
    <w:rsid w:val="00B94B21"/>
    <w:rsid w:val="00B9735F"/>
    <w:rsid w:val="00BC069E"/>
    <w:rsid w:val="00BC7683"/>
    <w:rsid w:val="00BE552B"/>
    <w:rsid w:val="00BF3182"/>
    <w:rsid w:val="00C216E9"/>
    <w:rsid w:val="00C22149"/>
    <w:rsid w:val="00C36C60"/>
    <w:rsid w:val="00C465EE"/>
    <w:rsid w:val="00C50DED"/>
    <w:rsid w:val="00C50E07"/>
    <w:rsid w:val="00C54636"/>
    <w:rsid w:val="00C81535"/>
    <w:rsid w:val="00CC7500"/>
    <w:rsid w:val="00CE72F1"/>
    <w:rsid w:val="00CF1D46"/>
    <w:rsid w:val="00CF76EC"/>
    <w:rsid w:val="00D05B29"/>
    <w:rsid w:val="00D17D2A"/>
    <w:rsid w:val="00D60031"/>
    <w:rsid w:val="00D878A1"/>
    <w:rsid w:val="00DB1D2D"/>
    <w:rsid w:val="00DB7063"/>
    <w:rsid w:val="00DD06E4"/>
    <w:rsid w:val="00DD1548"/>
    <w:rsid w:val="00DE50D6"/>
    <w:rsid w:val="00DE59B5"/>
    <w:rsid w:val="00DF56C6"/>
    <w:rsid w:val="00E03BDF"/>
    <w:rsid w:val="00E50EF0"/>
    <w:rsid w:val="00E9046A"/>
    <w:rsid w:val="00EA5120"/>
    <w:rsid w:val="00EE2D24"/>
    <w:rsid w:val="00EF001A"/>
    <w:rsid w:val="00F12E04"/>
    <w:rsid w:val="00F648C6"/>
    <w:rsid w:val="00F91EF5"/>
    <w:rsid w:val="00F92B86"/>
    <w:rsid w:val="00FA56FD"/>
    <w:rsid w:val="00FC2900"/>
    <w:rsid w:val="00FC3E98"/>
    <w:rsid w:val="00FD77D5"/>
    <w:rsid w:val="00FE2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15DD"/>
  <w15:chartTrackingRefBased/>
  <w15:docId w15:val="{5A4E112F-3323-4093-900F-50E03C24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47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normalny tekst,Akapit z list¹,CW_Lista,List Paragraph2,List Paragraph,maz_wyliczenie,opis dzialania,K-P_odwolanie,A_wyliczenie"/>
    <w:basedOn w:val="Normalny"/>
    <w:link w:val="AkapitzlistZnak"/>
    <w:qFormat/>
    <w:rsid w:val="0008470E"/>
    <w:pPr>
      <w:ind w:left="720"/>
      <w:contextualSpacing/>
    </w:pPr>
  </w:style>
  <w:style w:type="character" w:styleId="Hipercze">
    <w:name w:val="Hyperlink"/>
    <w:basedOn w:val="Domylnaczcionkaakapitu"/>
    <w:uiPriority w:val="99"/>
    <w:unhideWhenUsed/>
    <w:rsid w:val="00886C1D"/>
    <w:rPr>
      <w:color w:val="0563C1" w:themeColor="hyperlink"/>
      <w:u w:val="single"/>
    </w:rPr>
  </w:style>
  <w:style w:type="paragraph" w:styleId="NormalnyWeb">
    <w:name w:val="Normal (Web)"/>
    <w:basedOn w:val="Normalny"/>
    <w:uiPriority w:val="99"/>
    <w:unhideWhenUsed/>
    <w:rsid w:val="00886C1D"/>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normalny tekst Znak,Akapit z list¹ Znak,CW_Lista Znak,List Paragraph2 Znak"/>
    <w:link w:val="Akapitzlist"/>
    <w:qFormat/>
    <w:locked/>
    <w:rsid w:val="008C2E24"/>
  </w:style>
  <w:style w:type="paragraph" w:styleId="Tekstdymka">
    <w:name w:val="Balloon Text"/>
    <w:basedOn w:val="Normalny"/>
    <w:link w:val="TekstdymkaZnak"/>
    <w:uiPriority w:val="99"/>
    <w:semiHidden/>
    <w:unhideWhenUsed/>
    <w:rsid w:val="00AF3B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B1F"/>
    <w:rPr>
      <w:rFonts w:ascii="Segoe UI" w:hAnsi="Segoe UI" w:cs="Segoe UI"/>
      <w:sz w:val="18"/>
      <w:szCs w:val="18"/>
    </w:rPr>
  </w:style>
  <w:style w:type="character" w:customStyle="1" w:styleId="Domylnaczcionkaakapitu1">
    <w:name w:val="Domyślna czcionka akapitu1"/>
    <w:rsid w:val="00BC7683"/>
  </w:style>
  <w:style w:type="paragraph" w:customStyle="1" w:styleId="Standard">
    <w:name w:val="Standard"/>
    <w:rsid w:val="00BC768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C7683"/>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A36FED"/>
    <w:rPr>
      <w:color w:val="605E5C"/>
      <w:shd w:val="clear" w:color="auto" w:fill="E1DFDD"/>
    </w:rPr>
  </w:style>
  <w:style w:type="character" w:styleId="Odwoaniedelikatne">
    <w:name w:val="Subtle Reference"/>
    <w:basedOn w:val="Domylnaczcionkaakapitu"/>
    <w:uiPriority w:val="31"/>
    <w:qFormat/>
    <w:rsid w:val="00F91EF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formazakupowa.pl/pn/kwp_rad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2484</Words>
  <Characters>14906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15</cp:revision>
  <cp:lastPrinted>2024-07-04T13:24:00Z</cp:lastPrinted>
  <dcterms:created xsi:type="dcterms:W3CDTF">2023-03-27T12:43:00Z</dcterms:created>
  <dcterms:modified xsi:type="dcterms:W3CDTF">2024-07-04T13:35:00Z</dcterms:modified>
</cp:coreProperties>
</file>