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E6" w:rsidRDefault="00730CE6" w:rsidP="00A5511F">
      <w:pPr>
        <w:pStyle w:val="Standard"/>
        <w:suppressAutoHyphens w:val="0"/>
        <w:spacing w:before="120"/>
        <w:rPr>
          <w:rFonts w:asciiTheme="minorHAnsi" w:hAnsiTheme="minorHAnsi" w:cstheme="minorHAnsi"/>
          <w:b/>
          <w:color w:val="000000"/>
          <w:lang w:val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</w:p>
    <w:p w:rsidR="00007FDE" w:rsidRDefault="00007FDE" w:rsidP="00007FDE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Załącznik nr 2.11 do PPU - Opis przedmiotu zamówienia dla części 11 po</w:t>
      </w:r>
      <w:r w:rsidR="00774E08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stę</w:t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powania </w:t>
      </w:r>
    </w:p>
    <w:p w:rsidR="00730CE6" w:rsidRPr="00730CE6" w:rsidRDefault="00730CE6" w:rsidP="00730CE6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lang w:val="pl-PL"/>
        </w:rPr>
      </w:pPr>
    </w:p>
    <w:p w:rsidR="00532B31" w:rsidRPr="00EA36AF" w:rsidRDefault="00532B31" w:rsidP="00EA36AF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</w:rPr>
      </w:pPr>
      <w:r w:rsidRPr="00532B31">
        <w:rPr>
          <w:rFonts w:asciiTheme="minorHAnsi" w:eastAsia="SimSun" w:hAnsiTheme="minorHAnsi" w:cstheme="minorHAnsi"/>
          <w:b/>
          <w:bCs/>
        </w:rPr>
        <w:t xml:space="preserve">ZAKUP OPROGRAMOWANIA DO </w:t>
      </w:r>
      <w:r w:rsidR="00594E9A" w:rsidRPr="00594E9A">
        <w:rPr>
          <w:rFonts w:asciiTheme="minorHAnsi" w:eastAsia="SimSun" w:hAnsiTheme="minorHAnsi" w:cstheme="minorHAnsi"/>
          <w:b/>
          <w:bCs/>
        </w:rPr>
        <w:t xml:space="preserve"> INŻYNIERII WSTECZNEJ DLA CBZC ZARZĄD WE WROCŁAWIU</w:t>
      </w:r>
      <w:r w:rsidR="00EA36AF">
        <w:rPr>
          <w:rFonts w:asciiTheme="minorHAnsi" w:eastAsia="SimSun" w:hAnsiTheme="minorHAnsi" w:cstheme="minorHAnsi"/>
          <w:b/>
          <w:bCs/>
        </w:rPr>
        <w:t xml:space="preserve"> </w:t>
      </w:r>
      <w:r w:rsidRPr="00532B31">
        <w:rPr>
          <w:rFonts w:asciiTheme="minorHAnsi" w:eastAsia="SimSun" w:hAnsiTheme="minorHAnsi" w:cstheme="minorHAnsi"/>
          <w:b/>
          <w:bCs/>
        </w:rPr>
        <w:t>–</w:t>
      </w:r>
      <w:r w:rsidR="00EA36AF">
        <w:rPr>
          <w:rFonts w:asciiTheme="minorHAnsi" w:eastAsia="SimSun" w:hAnsiTheme="minorHAnsi" w:cstheme="minorHAnsi"/>
          <w:b/>
          <w:bCs/>
        </w:rPr>
        <w:t xml:space="preserve"> </w:t>
      </w:r>
      <w:r w:rsidRPr="00532B31">
        <w:rPr>
          <w:rFonts w:asciiTheme="minorHAnsi" w:eastAsia="SimSun" w:hAnsiTheme="minorHAnsi" w:cstheme="minorHAnsi"/>
          <w:b/>
          <w:bCs/>
          <w:u w:val="single"/>
        </w:rPr>
        <w:t>1 SZT.</w:t>
      </w:r>
      <w:bookmarkStart w:id="0" w:name="_GoBack"/>
      <w:bookmarkEnd w:id="0"/>
    </w:p>
    <w:p w:rsidR="00532B31" w:rsidRPr="00532B31" w:rsidRDefault="00532B31" w:rsidP="00532B31">
      <w:pPr>
        <w:pStyle w:val="Tekstpodstawowy"/>
        <w:tabs>
          <w:tab w:val="left" w:pos="0"/>
        </w:tabs>
        <w:jc w:val="center"/>
        <w:rPr>
          <w:rFonts w:asciiTheme="minorHAnsi" w:hAnsiTheme="minorHAnsi" w:cstheme="minorHAnsi"/>
          <w:b/>
          <w:u w:val="single"/>
        </w:rPr>
      </w:pPr>
    </w:p>
    <w:tbl>
      <w:tblPr>
        <w:tblW w:w="99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7"/>
        <w:gridCol w:w="6217"/>
      </w:tblGrid>
      <w:tr w:rsidR="00B40F50" w:rsidRPr="00730CE6" w:rsidTr="005247E7">
        <w:trPr>
          <w:trHeight w:val="119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A5511F" w:rsidRDefault="00A5511F" w:rsidP="005247E7">
            <w:pPr>
              <w:rPr>
                <w:rFonts w:cstheme="minorHAnsi"/>
                <w:b/>
                <w:color w:val="000000"/>
                <w:u w:val="single"/>
                <w:lang w:eastAsia="pl-PL"/>
              </w:rPr>
            </w:pPr>
            <w:r>
              <w:rPr>
                <w:rFonts w:cstheme="minorHAnsi"/>
                <w:b/>
                <w:color w:val="000000"/>
                <w:u w:val="single"/>
                <w:lang w:eastAsia="pl-PL"/>
              </w:rPr>
              <w:t xml:space="preserve">                </w:t>
            </w:r>
            <w:r w:rsidR="00B40F50" w:rsidRPr="00A5511F">
              <w:rPr>
                <w:rFonts w:cstheme="minorHAnsi"/>
                <w:b/>
                <w:color w:val="000000"/>
                <w:u w:val="single"/>
                <w:lang w:eastAsia="pl-PL"/>
              </w:rPr>
              <w:t>Właściwości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E1" w:rsidRPr="00B610E1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610E1">
              <w:rPr>
                <w:rFonts w:cstheme="minorHAnsi"/>
                <w:bCs/>
                <w:sz w:val="20"/>
                <w:szCs w:val="20"/>
              </w:rPr>
              <w:t>Wspierane procesory: Oprogramowanie musi wspierać 68 rodzin procesorów, z możliwością dodania własnych poprzez SDK/IDA Python. Obsługiwane architektury to m.in. x86, x64, ARM, ARM64, PPC, PPC64, MIPS, MIPS64, ARC.</w:t>
            </w:r>
          </w:p>
          <w:p w:rsidR="00B610E1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610E1">
              <w:rPr>
                <w:rFonts w:cstheme="minorHAnsi"/>
                <w:bCs/>
                <w:sz w:val="20"/>
                <w:szCs w:val="20"/>
              </w:rPr>
              <w:t>Obsługa plików 64-bitowych: Oprogramowanie musi wspierać analizę plików 64-bitowych.</w:t>
            </w:r>
          </w:p>
          <w:p w:rsidR="00B610E1" w:rsidRPr="00B610E1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3306E">
              <w:rPr>
                <w:rFonts w:cstheme="minorHAnsi"/>
                <w:bCs/>
                <w:sz w:val="20"/>
                <w:szCs w:val="20"/>
              </w:rPr>
              <w:t>Wspierane systemy operacyjne: Windows 7, Windows 8, Windows 10, Windows 11.</w:t>
            </w:r>
          </w:p>
          <w:p w:rsidR="00B610E1" w:rsidRPr="00B610E1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610E1">
              <w:rPr>
                <w:rFonts w:cstheme="minorHAnsi"/>
                <w:bCs/>
                <w:sz w:val="20"/>
                <w:szCs w:val="20"/>
              </w:rPr>
              <w:t>Debuggery:</w:t>
            </w:r>
            <w:r>
              <w:t xml:space="preserve"> </w:t>
            </w:r>
            <w:r w:rsidRPr="00B610E1">
              <w:rPr>
                <w:rFonts w:cstheme="minorHAnsi"/>
                <w:bCs/>
                <w:sz w:val="20"/>
                <w:szCs w:val="20"/>
              </w:rPr>
              <w:t>Oprogramowanie musi wspierać debugowanie lokalne i zdalne dla systemów Windows, Linux, macOS, iOS, XNU, Bochs, GDBServer, WinDbg, Intel PIN, oraz Android (Dalvik).</w:t>
            </w:r>
          </w:p>
          <w:p w:rsidR="00B610E1" w:rsidRPr="00B610E1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610E1">
              <w:rPr>
                <w:rFonts w:cstheme="minorHAnsi"/>
                <w:bCs/>
                <w:sz w:val="20"/>
                <w:szCs w:val="20"/>
              </w:rPr>
              <w:t>Oprogramowanie musi wspierać debugowanie lokalne i zdalne dla systemów Windows, Linux, macOS, iOS, XNU, Bochs, GDBServer, WinDbg, Intel PIN, oraz Android (Dalvik).</w:t>
            </w:r>
          </w:p>
          <w:p w:rsidR="00B610E1" w:rsidRPr="00B610E1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610E1">
              <w:rPr>
                <w:rFonts w:cstheme="minorHAnsi"/>
                <w:bCs/>
                <w:sz w:val="20"/>
                <w:szCs w:val="20"/>
              </w:rPr>
              <w:t>Formaty plików: Oprogramowanie musi obsługiwać analizę ponad 45 formatów plików, z możliwością dodania własnych za pomocą SDK i IDA Python. Obsługiwane formaty to m.in. PE, ELF, Mach-O.</w:t>
            </w:r>
          </w:p>
          <w:p w:rsidR="00B610E1" w:rsidRPr="00B610E1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610E1">
              <w:rPr>
                <w:rFonts w:cstheme="minorHAnsi"/>
                <w:bCs/>
                <w:sz w:val="20"/>
                <w:szCs w:val="20"/>
              </w:rPr>
              <w:t>Dekompilator: Oprogramowanie musi obsługiwać dekompilację dla architektur takich jak x86, x64, ARM, ARM64, PPC, PPC64, MIPS, MIPS64, ARC (w zależności od wybranego pakietu).</w:t>
            </w:r>
          </w:p>
          <w:p w:rsidR="00B610E1" w:rsidRPr="00B610E1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610E1">
              <w:rPr>
                <w:rFonts w:cstheme="minorHAnsi"/>
                <w:bCs/>
                <w:sz w:val="20"/>
                <w:szCs w:val="20"/>
              </w:rPr>
              <w:t>Licencja wieczysta: Oprogramowanie musi oferować możliwość zakupu licencji wieczystej.</w:t>
            </w:r>
          </w:p>
          <w:p w:rsidR="00B610E1" w:rsidRPr="00B610E1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610E1">
              <w:rPr>
                <w:rFonts w:cstheme="minorHAnsi"/>
                <w:bCs/>
                <w:sz w:val="20"/>
                <w:szCs w:val="20"/>
              </w:rPr>
              <w:t>Zastosowanie komercyjne: Oprogramowanie musi umożliwiać komercyjne wykorzystanie.</w:t>
            </w:r>
          </w:p>
          <w:p w:rsidR="00B610E1" w:rsidRPr="00B610E1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610E1">
              <w:rPr>
                <w:rFonts w:cstheme="minorHAnsi"/>
                <w:bCs/>
                <w:sz w:val="20"/>
                <w:szCs w:val="20"/>
              </w:rPr>
              <w:t>Skrypty Python: Oprogramowanie musi wspierać skrypty Python.</w:t>
            </w:r>
          </w:p>
          <w:p w:rsidR="00B610E1" w:rsidRPr="00B610E1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610E1">
              <w:rPr>
                <w:rFonts w:cstheme="minorHAnsi"/>
                <w:bCs/>
                <w:sz w:val="20"/>
                <w:szCs w:val="20"/>
              </w:rPr>
              <w:t>Obsługa trybu wsadowego (headless/batch): Oprogramowanie musi obsługiwać tryb wsadowy do wykonywania analiz bez interakcji użytkownika.</w:t>
            </w:r>
          </w:p>
          <w:p w:rsidR="00B610E1" w:rsidRPr="00B610E1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610E1">
              <w:rPr>
                <w:rFonts w:cstheme="minorHAnsi"/>
                <w:bCs/>
                <w:sz w:val="20"/>
                <w:szCs w:val="20"/>
              </w:rPr>
              <w:t>Interfejs tekstowy (Terminal UI): Oprogramowanie musi oferować interfejs tekstowy dla zaawansowanych użytkowników.</w:t>
            </w:r>
          </w:p>
          <w:p w:rsidR="00B610E1" w:rsidRPr="00B610E1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610E1">
              <w:rPr>
                <w:rFonts w:cstheme="minorHAnsi"/>
                <w:bCs/>
                <w:sz w:val="20"/>
                <w:szCs w:val="20"/>
              </w:rPr>
              <w:t>Dostęp do SDK C++ i narzędzi: Oprogramowanie musi zapewniać dostęp do SDK C++ oraz narzędzi deweloperskich.</w:t>
            </w:r>
          </w:p>
          <w:p w:rsidR="00B610E1" w:rsidRPr="00B610E1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610E1">
              <w:rPr>
                <w:rFonts w:cstheme="minorHAnsi"/>
                <w:bCs/>
                <w:sz w:val="20"/>
                <w:szCs w:val="20"/>
              </w:rPr>
              <w:t>Zapisywanie postępów analizy: Oprogramowanie musi umożliwiać zapisywanie wyników i postępów analizy.</w:t>
            </w:r>
          </w:p>
          <w:p w:rsidR="00B610E1" w:rsidRPr="00B610E1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610E1">
              <w:rPr>
                <w:rFonts w:cstheme="minorHAnsi"/>
                <w:bCs/>
                <w:sz w:val="20"/>
                <w:szCs w:val="20"/>
              </w:rPr>
              <w:t>Licencja pływająca (Floating): Oprogramowanie musi oferować licencję pływającą, umożliwiającą elastyczne zarządzanie dostępem w organizacji.</w:t>
            </w:r>
          </w:p>
          <w:p w:rsidR="00B610E1" w:rsidRPr="00B610E1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610E1">
              <w:rPr>
                <w:rFonts w:cstheme="minorHAnsi"/>
                <w:bCs/>
                <w:sz w:val="20"/>
                <w:szCs w:val="20"/>
              </w:rPr>
              <w:t>Wsparcie techniczne: Oprogramowanie musi zapewniać wsparcie techniczne poprzez e-mail oraz forum użytkowników.</w:t>
            </w:r>
          </w:p>
          <w:p w:rsidR="00CC5ADC" w:rsidRPr="00A5511F" w:rsidRDefault="00B610E1" w:rsidP="00B610E1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610E1">
              <w:rPr>
                <w:rFonts w:cstheme="minorHAnsi"/>
                <w:bCs/>
                <w:sz w:val="20"/>
                <w:szCs w:val="20"/>
              </w:rPr>
              <w:t>Wsparcie dla pracy zespołowej: Oprogramowanie musi wspierać funkcje umożliwiające współpracę w zespole, takie jak udostępnianie wyników analiz.</w:t>
            </w:r>
          </w:p>
        </w:tc>
      </w:tr>
      <w:tr w:rsidR="00B40F50" w:rsidRPr="00774EB4" w:rsidTr="00DA5BBD">
        <w:trPr>
          <w:trHeight w:val="841"/>
          <w:jc w:val="center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A5511F" w:rsidRDefault="00A5511F" w:rsidP="005247E7">
            <w:pPr>
              <w:rPr>
                <w:rFonts w:cstheme="minorHAnsi"/>
                <w:b/>
                <w:color w:val="000000"/>
                <w:u w:val="single"/>
                <w:lang w:eastAsia="pl-PL"/>
              </w:rPr>
            </w:pPr>
            <w:r>
              <w:rPr>
                <w:rFonts w:cstheme="minorHAnsi"/>
                <w:b/>
                <w:color w:val="000000"/>
                <w:u w:val="single"/>
                <w:lang w:eastAsia="pl-PL"/>
              </w:rPr>
              <w:lastRenderedPageBreak/>
              <w:t xml:space="preserve">                       </w:t>
            </w:r>
            <w:r w:rsidR="00B40F50" w:rsidRPr="00A5511F">
              <w:rPr>
                <w:rFonts w:cstheme="minorHAnsi"/>
                <w:b/>
                <w:color w:val="000000"/>
                <w:u w:val="single"/>
                <w:lang w:eastAsia="pl-PL"/>
              </w:rPr>
              <w:t>Analiza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E1" w:rsidRPr="00B610E1" w:rsidRDefault="00B610E1" w:rsidP="00B610E1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B610E1">
              <w:rPr>
                <w:rFonts w:cstheme="minorHAnsi"/>
                <w:bCs/>
                <w:sz w:val="20"/>
                <w:szCs w:val="20"/>
                <w:lang w:val="en-US"/>
              </w:rPr>
              <w:t>Zaawansowana analiza kodu złośliwego: Oprogramowanie musi być standardem w analizie kodu złośliwego, wykorzystywane przez analityków w celu wykrywania i badania nowych zagrożeń w postaci wirusów, spyware i malware, ze szczególnym wsparciem dla analiz na systemie Windows.</w:t>
            </w:r>
          </w:p>
          <w:p w:rsidR="00B610E1" w:rsidRPr="00B610E1" w:rsidRDefault="00B610E1" w:rsidP="00B610E1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B610E1">
              <w:rPr>
                <w:rFonts w:cstheme="minorHAnsi"/>
                <w:bCs/>
                <w:sz w:val="20"/>
                <w:szCs w:val="20"/>
                <w:lang w:val="en-US"/>
              </w:rPr>
              <w:t>Wizualizacja przepływu sterowania: Narzędzie musi umożliwiać wizualizację przepływu sterowania, drzew wywołań oraz zależności w kodzie na platformie Windows.</w:t>
            </w:r>
          </w:p>
          <w:p w:rsidR="00CC5ADC" w:rsidRPr="00A5511F" w:rsidRDefault="00B610E1" w:rsidP="00B610E1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B610E1">
              <w:rPr>
                <w:rFonts w:cstheme="minorHAnsi"/>
                <w:bCs/>
                <w:sz w:val="20"/>
                <w:szCs w:val="20"/>
                <w:lang w:val="en-US"/>
              </w:rPr>
              <w:t>Tworzenie raportów: Narzędzie musi umożliwiać tworzenie zaawansowanych raportów z możliwością swobodnego dopasowywania ich zawartości, kompatybilnych z systemem Windows.</w:t>
            </w:r>
          </w:p>
        </w:tc>
      </w:tr>
    </w:tbl>
    <w:p w:rsidR="00BD4A63" w:rsidRPr="00774EB4" w:rsidRDefault="00BD4A63" w:rsidP="00032899">
      <w:pPr>
        <w:spacing w:line="276" w:lineRule="auto"/>
        <w:jc w:val="both"/>
        <w:rPr>
          <w:rFonts w:cstheme="minorHAnsi"/>
          <w:bCs/>
          <w:lang w:val="en-US"/>
        </w:rPr>
      </w:pPr>
    </w:p>
    <w:p w:rsidR="00A5511F" w:rsidRDefault="00A5511F" w:rsidP="00A5511F">
      <w:pPr>
        <w:pStyle w:val="Listapunktowana31"/>
        <w:numPr>
          <w:ilvl w:val="0"/>
          <w:numId w:val="21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221EBE">
        <w:rPr>
          <w:rFonts w:asciiTheme="minorHAnsi" w:hAnsiTheme="minorHAnsi" w:cstheme="minorHAnsi"/>
          <w:sz w:val="20"/>
          <w:szCs w:val="20"/>
        </w:rPr>
        <w:t xml:space="preserve">Wymagania w zakresie licencji. </w:t>
      </w:r>
    </w:p>
    <w:p w:rsidR="00C344D9" w:rsidRPr="0064381A" w:rsidRDefault="00C344D9" w:rsidP="00C344D9">
      <w:pPr>
        <w:pStyle w:val="Listapunktowana31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</w:p>
    <w:p w:rsidR="00A5511F" w:rsidRPr="00221EBE" w:rsidRDefault="00A5511F" w:rsidP="00A5511F">
      <w:pPr>
        <w:pStyle w:val="Lista2a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221EBE">
        <w:rPr>
          <w:rFonts w:asciiTheme="minorHAnsi" w:hAnsiTheme="minorHAnsi" w:cstheme="minorHAnsi"/>
          <w:b w:val="0"/>
          <w:sz w:val="20"/>
          <w:szCs w:val="20"/>
        </w:rPr>
        <w:t>Zamawiający wymaga, aby oferowany przedmiot zamówienia objęty był:</w:t>
      </w:r>
    </w:p>
    <w:p w:rsidR="00FD0C14" w:rsidRPr="00FD0C14" w:rsidRDefault="00594E9A" w:rsidP="00FD0C14">
      <w:pPr>
        <w:pStyle w:val="Akapitzlist"/>
        <w:numPr>
          <w:ilvl w:val="1"/>
          <w:numId w:val="20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594E9A">
        <w:rPr>
          <w:rFonts w:cstheme="minorHAnsi"/>
          <w:sz w:val="20"/>
          <w:szCs w:val="20"/>
        </w:rPr>
        <w:t xml:space="preserve">Typ licencji: </w:t>
      </w:r>
      <w:r w:rsidR="00FD0C14" w:rsidRPr="00FD0C14">
        <w:rPr>
          <w:rFonts w:cstheme="minorHAnsi"/>
          <w:sz w:val="20"/>
          <w:szCs w:val="20"/>
        </w:rPr>
        <w:t>Floating (pływająca), z pełnym wsparciem dla instalacji na systemie Windows.</w:t>
      </w:r>
    </w:p>
    <w:p w:rsidR="00FD0C14" w:rsidRPr="00FD0C14" w:rsidRDefault="00FD0C14" w:rsidP="00FD0C14">
      <w:pPr>
        <w:pStyle w:val="Akapitzlist"/>
        <w:numPr>
          <w:ilvl w:val="1"/>
          <w:numId w:val="20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FD0C14">
        <w:rPr>
          <w:rFonts w:cstheme="minorHAnsi"/>
          <w:sz w:val="20"/>
          <w:szCs w:val="20"/>
        </w:rPr>
        <w:t>Nowa licencja: Licencja musi być nowa, nieużywana, i nigdy wcześniej nieaktywowana na innym urządzeniu.</w:t>
      </w:r>
    </w:p>
    <w:p w:rsidR="00FD0C14" w:rsidRPr="00FD0C14" w:rsidRDefault="00FD0C14" w:rsidP="00FD0C14">
      <w:pPr>
        <w:pStyle w:val="Akapitzlist"/>
        <w:numPr>
          <w:ilvl w:val="1"/>
          <w:numId w:val="20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FD0C14">
        <w:rPr>
          <w:rFonts w:cstheme="minorHAnsi"/>
          <w:sz w:val="20"/>
          <w:szCs w:val="20"/>
        </w:rPr>
        <w:t>Możliwość przenoszenia licencji między stanowiskami, z pełnym wsparciem dla systemu Windows.</w:t>
      </w:r>
    </w:p>
    <w:p w:rsidR="00FD0C14" w:rsidRPr="00FD0C14" w:rsidRDefault="00FD0C14" w:rsidP="00FD0C14">
      <w:pPr>
        <w:pStyle w:val="Akapitzlist"/>
        <w:numPr>
          <w:ilvl w:val="1"/>
          <w:numId w:val="20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FD0C14">
        <w:rPr>
          <w:rFonts w:cstheme="minorHAnsi"/>
          <w:sz w:val="20"/>
          <w:szCs w:val="20"/>
        </w:rPr>
        <w:t>Wykluczenie licencji domowych: Nie dopuszcza się oprogramowania do zastosowań domowych, musi być przystosowane do pracy w środowisku Windows w środowiskach profesjonalnych.</w:t>
      </w:r>
    </w:p>
    <w:p w:rsidR="00FD0C14" w:rsidRPr="00C67B0E" w:rsidRDefault="00FD0C14" w:rsidP="00FD0C14">
      <w:pPr>
        <w:pStyle w:val="Akapitzlist"/>
        <w:numPr>
          <w:ilvl w:val="1"/>
          <w:numId w:val="20"/>
        </w:numPr>
        <w:suppressAutoHyphens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C67B0E">
        <w:rPr>
          <w:rFonts w:cstheme="minorHAnsi"/>
          <w:b/>
          <w:sz w:val="20"/>
          <w:szCs w:val="20"/>
        </w:rPr>
        <w:t>Okres licencji: Czasowa (subskrypcja) na okres 12 miesięcy, począwszy od dnia dostawy (podpisania przez Zamawiającego protokołu odbioru).</w:t>
      </w:r>
    </w:p>
    <w:p w:rsidR="00FD0C14" w:rsidRPr="00FD0C14" w:rsidRDefault="00FD0C14" w:rsidP="00FD0C14">
      <w:pPr>
        <w:pStyle w:val="Akapitzlist"/>
        <w:numPr>
          <w:ilvl w:val="1"/>
          <w:numId w:val="20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FD0C14">
        <w:rPr>
          <w:rFonts w:cstheme="minorHAnsi"/>
          <w:sz w:val="20"/>
          <w:szCs w:val="20"/>
        </w:rPr>
        <w:t>Rejestracja licencji: Licencja musi zostać zarejestrowana na dane Centralnego Biura Zwalczania Cyberprzestępczości – Zarząd we Wrocławiu.</w:t>
      </w:r>
    </w:p>
    <w:p w:rsidR="00FD0C14" w:rsidRPr="00FD0C14" w:rsidRDefault="00FD0C14" w:rsidP="00FD0C14">
      <w:pPr>
        <w:pStyle w:val="Akapitzlist"/>
        <w:numPr>
          <w:ilvl w:val="1"/>
          <w:numId w:val="20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FD0C14">
        <w:rPr>
          <w:rFonts w:cstheme="minorHAnsi"/>
          <w:sz w:val="20"/>
          <w:szCs w:val="20"/>
        </w:rPr>
        <w:t>Udostępnienie wersji instalacyjnej: Wersja instalacyjna oprogramowania musi być udostępniona na autoryzowanej stronie producenta oprogramowania, z pełnym wsparciem dla instalacji na systemie Windows.</w:t>
      </w:r>
    </w:p>
    <w:p w:rsidR="00FD0C14" w:rsidRPr="00FD0C14" w:rsidRDefault="00FD0C14" w:rsidP="00FD0C14">
      <w:pPr>
        <w:pStyle w:val="Akapitzlist"/>
        <w:numPr>
          <w:ilvl w:val="1"/>
          <w:numId w:val="20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FD0C14">
        <w:rPr>
          <w:rFonts w:cstheme="minorHAnsi"/>
          <w:sz w:val="20"/>
          <w:szCs w:val="20"/>
        </w:rPr>
        <w:t>Dostarczenie licencji elektronicznej: Licencja musi zostać wysłana na adres licencje@cbzc.policja.gov.pl.</w:t>
      </w:r>
    </w:p>
    <w:p w:rsidR="00A5511F" w:rsidRPr="00221EBE" w:rsidRDefault="00FD0C14" w:rsidP="00FD0C14">
      <w:pPr>
        <w:pStyle w:val="Akapitzlist"/>
        <w:numPr>
          <w:ilvl w:val="1"/>
          <w:numId w:val="20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FD0C14">
        <w:rPr>
          <w:rFonts w:cstheme="minorHAnsi"/>
          <w:sz w:val="20"/>
          <w:szCs w:val="20"/>
        </w:rPr>
        <w:t>Aktywacja offline: Aktywacja oprogramowania powinna umożliwiać aktywację na komputerach niepodłączonych do Internetu, w tym komputerach z systemem Windows.</w:t>
      </w:r>
    </w:p>
    <w:p w:rsidR="00A5511F" w:rsidRPr="00221EBE" w:rsidRDefault="00A5511F" w:rsidP="00A5511F">
      <w:pPr>
        <w:pStyle w:val="Lista2a"/>
        <w:numPr>
          <w:ilvl w:val="1"/>
          <w:numId w:val="22"/>
        </w:numPr>
        <w:spacing w:line="276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221EBE">
        <w:rPr>
          <w:rFonts w:asciiTheme="minorHAnsi" w:hAnsiTheme="minorHAnsi" w:cstheme="minorHAnsi"/>
          <w:b w:val="0"/>
          <w:sz w:val="20"/>
          <w:szCs w:val="20"/>
        </w:rPr>
        <w:t>Dostarczone urządzenia powinny być nowe, wolne od wad i zgodne z poziomem technologii istniejącym w momencie podpisania umowy.</w:t>
      </w:r>
    </w:p>
    <w:p w:rsidR="00BD4A63" w:rsidRDefault="00BD4A63" w:rsidP="00032899">
      <w:pPr>
        <w:spacing w:line="276" w:lineRule="auto"/>
        <w:jc w:val="both"/>
        <w:rPr>
          <w:rFonts w:cstheme="minorHAnsi"/>
          <w:bCs/>
        </w:rPr>
      </w:pPr>
    </w:p>
    <w:p w:rsidR="00BD4A63" w:rsidRDefault="00BD4A63" w:rsidP="00032899">
      <w:pPr>
        <w:spacing w:line="276" w:lineRule="auto"/>
        <w:jc w:val="both"/>
        <w:rPr>
          <w:rFonts w:cstheme="minorHAnsi"/>
          <w:bCs/>
        </w:rPr>
      </w:pPr>
    </w:p>
    <w:p w:rsidR="00BD4A63" w:rsidRDefault="00BD4A63" w:rsidP="00A5511F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</w:p>
    <w:p w:rsidR="00C344D9" w:rsidRDefault="00C344D9" w:rsidP="00A5511F">
      <w:pPr>
        <w:spacing w:line="276" w:lineRule="auto"/>
        <w:jc w:val="both"/>
        <w:rPr>
          <w:rFonts w:cstheme="minorHAnsi"/>
          <w:bCs/>
        </w:rPr>
      </w:pPr>
    </w:p>
    <w:p w:rsidR="00C344D9" w:rsidRDefault="00C344D9" w:rsidP="00C344D9">
      <w:pPr>
        <w:spacing w:line="276" w:lineRule="auto"/>
        <w:ind w:left="6372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………………………………………….</w:t>
      </w:r>
    </w:p>
    <w:p w:rsidR="00C344D9" w:rsidRPr="00C344D9" w:rsidRDefault="00C344D9" w:rsidP="00C344D9">
      <w:pPr>
        <w:spacing w:line="276" w:lineRule="auto"/>
        <w:ind w:left="6372"/>
        <w:jc w:val="both"/>
        <w:rPr>
          <w:rFonts w:cstheme="minorHAnsi"/>
          <w:bCs/>
          <w:sz w:val="16"/>
          <w:szCs w:val="16"/>
        </w:rPr>
      </w:pPr>
      <w:r w:rsidRPr="00C344D9">
        <w:rPr>
          <w:rFonts w:cstheme="minorHAnsi"/>
          <w:bCs/>
          <w:sz w:val="16"/>
          <w:szCs w:val="16"/>
        </w:rPr>
        <w:t xml:space="preserve">           </w:t>
      </w:r>
      <w:r>
        <w:rPr>
          <w:rFonts w:cstheme="minorHAnsi"/>
          <w:bCs/>
          <w:sz w:val="16"/>
          <w:szCs w:val="16"/>
        </w:rPr>
        <w:t xml:space="preserve">      </w:t>
      </w:r>
      <w:r w:rsidRPr="00C344D9">
        <w:rPr>
          <w:rFonts w:cstheme="minorHAnsi"/>
          <w:bCs/>
          <w:sz w:val="16"/>
          <w:szCs w:val="16"/>
        </w:rPr>
        <w:t xml:space="preserve">  (podpis)</w:t>
      </w:r>
    </w:p>
    <w:sectPr w:rsidR="00C344D9" w:rsidRPr="00C344D9" w:rsidSect="00A5511F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DE1" w:rsidRDefault="00836DE1" w:rsidP="00532B31">
      <w:pPr>
        <w:spacing w:after="0" w:line="240" w:lineRule="auto"/>
      </w:pPr>
      <w:r>
        <w:separator/>
      </w:r>
    </w:p>
  </w:endnote>
  <w:endnote w:type="continuationSeparator" w:id="0">
    <w:p w:rsidR="00836DE1" w:rsidRDefault="00836DE1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DE1" w:rsidRDefault="00836DE1" w:rsidP="00532B31">
      <w:pPr>
        <w:spacing w:after="0" w:line="240" w:lineRule="auto"/>
      </w:pPr>
      <w:r>
        <w:separator/>
      </w:r>
    </w:p>
  </w:footnote>
  <w:footnote w:type="continuationSeparator" w:id="0">
    <w:p w:rsidR="00836DE1" w:rsidRDefault="00836DE1" w:rsidP="0053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5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0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8"/>
  </w:num>
  <w:num w:numId="5">
    <w:abstractNumId w:val="14"/>
  </w:num>
  <w:num w:numId="6">
    <w:abstractNumId w:val="16"/>
  </w:num>
  <w:num w:numId="7">
    <w:abstractNumId w:val="7"/>
  </w:num>
  <w:num w:numId="8">
    <w:abstractNumId w:val="1"/>
  </w:num>
  <w:num w:numId="9">
    <w:abstractNumId w:val="12"/>
  </w:num>
  <w:num w:numId="10">
    <w:abstractNumId w:val="9"/>
  </w:num>
  <w:num w:numId="11">
    <w:abstractNumId w:val="15"/>
  </w:num>
  <w:num w:numId="12">
    <w:abstractNumId w:val="13"/>
  </w:num>
  <w:num w:numId="13">
    <w:abstractNumId w:val="6"/>
  </w:num>
  <w:num w:numId="14">
    <w:abstractNumId w:val="8"/>
  </w:num>
  <w:num w:numId="15">
    <w:abstractNumId w:val="20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2"/>
  </w:num>
  <w:num w:numId="18">
    <w:abstractNumId w:val="17"/>
  </w:num>
  <w:num w:numId="19">
    <w:abstractNumId w:val="19"/>
  </w:num>
  <w:num w:numId="20">
    <w:abstractNumId w:val="4"/>
  </w:num>
  <w:num w:numId="21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07FDE"/>
    <w:rsid w:val="0003174F"/>
    <w:rsid w:val="00032899"/>
    <w:rsid w:val="00097351"/>
    <w:rsid w:val="000C4F6C"/>
    <w:rsid w:val="000C5D5B"/>
    <w:rsid w:val="000F649B"/>
    <w:rsid w:val="00120A12"/>
    <w:rsid w:val="0013475C"/>
    <w:rsid w:val="0014277F"/>
    <w:rsid w:val="00160D47"/>
    <w:rsid w:val="00166516"/>
    <w:rsid w:val="00186326"/>
    <w:rsid w:val="001C11FC"/>
    <w:rsid w:val="00286570"/>
    <w:rsid w:val="002F43D2"/>
    <w:rsid w:val="003129F3"/>
    <w:rsid w:val="00350389"/>
    <w:rsid w:val="00367109"/>
    <w:rsid w:val="0038593C"/>
    <w:rsid w:val="003D2CE2"/>
    <w:rsid w:val="00404DF6"/>
    <w:rsid w:val="00447CAA"/>
    <w:rsid w:val="00467194"/>
    <w:rsid w:val="00477822"/>
    <w:rsid w:val="00494ECB"/>
    <w:rsid w:val="004A4DA4"/>
    <w:rsid w:val="004D5D25"/>
    <w:rsid w:val="004E54C4"/>
    <w:rsid w:val="004F788E"/>
    <w:rsid w:val="00517354"/>
    <w:rsid w:val="00532B31"/>
    <w:rsid w:val="00534493"/>
    <w:rsid w:val="0058627F"/>
    <w:rsid w:val="00594E9A"/>
    <w:rsid w:val="00595BFD"/>
    <w:rsid w:val="005F0178"/>
    <w:rsid w:val="00627A49"/>
    <w:rsid w:val="0064381A"/>
    <w:rsid w:val="006875E1"/>
    <w:rsid w:val="006E39A2"/>
    <w:rsid w:val="00726019"/>
    <w:rsid w:val="00730CE6"/>
    <w:rsid w:val="00741ABA"/>
    <w:rsid w:val="00742046"/>
    <w:rsid w:val="00774E08"/>
    <w:rsid w:val="00774EB4"/>
    <w:rsid w:val="00794790"/>
    <w:rsid w:val="00795C96"/>
    <w:rsid w:val="007A4FE1"/>
    <w:rsid w:val="007B0B91"/>
    <w:rsid w:val="007B74FD"/>
    <w:rsid w:val="007D2994"/>
    <w:rsid w:val="007F60DE"/>
    <w:rsid w:val="00806775"/>
    <w:rsid w:val="00836DE1"/>
    <w:rsid w:val="0084375C"/>
    <w:rsid w:val="00846557"/>
    <w:rsid w:val="008C36D6"/>
    <w:rsid w:val="008E2F5C"/>
    <w:rsid w:val="00900668"/>
    <w:rsid w:val="00965CD7"/>
    <w:rsid w:val="0099286F"/>
    <w:rsid w:val="009A40A1"/>
    <w:rsid w:val="009C0679"/>
    <w:rsid w:val="00A04664"/>
    <w:rsid w:val="00A31DD9"/>
    <w:rsid w:val="00A4024D"/>
    <w:rsid w:val="00A5511F"/>
    <w:rsid w:val="00AA2893"/>
    <w:rsid w:val="00AB72F6"/>
    <w:rsid w:val="00B03451"/>
    <w:rsid w:val="00B340E7"/>
    <w:rsid w:val="00B40F50"/>
    <w:rsid w:val="00B610E1"/>
    <w:rsid w:val="00B67768"/>
    <w:rsid w:val="00B71452"/>
    <w:rsid w:val="00BB066E"/>
    <w:rsid w:val="00BB20BD"/>
    <w:rsid w:val="00BC35A1"/>
    <w:rsid w:val="00BD4A63"/>
    <w:rsid w:val="00C22E4D"/>
    <w:rsid w:val="00C344D9"/>
    <w:rsid w:val="00C543A1"/>
    <w:rsid w:val="00C67B0E"/>
    <w:rsid w:val="00CB194D"/>
    <w:rsid w:val="00CC5ADC"/>
    <w:rsid w:val="00CD6BDF"/>
    <w:rsid w:val="00D047D6"/>
    <w:rsid w:val="00D31855"/>
    <w:rsid w:val="00DA5BBD"/>
    <w:rsid w:val="00DB3B48"/>
    <w:rsid w:val="00DC3E3E"/>
    <w:rsid w:val="00DE7B31"/>
    <w:rsid w:val="00E01EFA"/>
    <w:rsid w:val="00E21C2B"/>
    <w:rsid w:val="00E42A08"/>
    <w:rsid w:val="00E44408"/>
    <w:rsid w:val="00E622BB"/>
    <w:rsid w:val="00E67745"/>
    <w:rsid w:val="00E70C12"/>
    <w:rsid w:val="00E84D6F"/>
    <w:rsid w:val="00E85B8F"/>
    <w:rsid w:val="00EA36AF"/>
    <w:rsid w:val="00EC47CE"/>
    <w:rsid w:val="00EF64E6"/>
    <w:rsid w:val="00F67FDE"/>
    <w:rsid w:val="00F83EC7"/>
    <w:rsid w:val="00F87489"/>
    <w:rsid w:val="00F9752F"/>
    <w:rsid w:val="00FA0D2D"/>
    <w:rsid w:val="00FA494D"/>
    <w:rsid w:val="00FA5DAC"/>
    <w:rsid w:val="00FD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905F33-CE5C-4484-A720-F9412DEF2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CDC00-B844-4A30-8936-96D19A932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11</cp:revision>
  <cp:lastPrinted>2024-09-23T08:31:00Z</cp:lastPrinted>
  <dcterms:created xsi:type="dcterms:W3CDTF">2024-09-03T09:53:00Z</dcterms:created>
  <dcterms:modified xsi:type="dcterms:W3CDTF">2024-09-23T08:31:00Z</dcterms:modified>
</cp:coreProperties>
</file>