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E5639F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E5639F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213DEA" w:rsidRDefault="00213DEA" w:rsidP="00213DEA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2.9 do PPU - Opis przedmiotu zamówienia dla części 9 postepowania </w:t>
      </w:r>
    </w:p>
    <w:p w:rsidR="00730CE6" w:rsidRPr="00E5639F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532B31" w:rsidRPr="00E5639F" w:rsidRDefault="00532B31" w:rsidP="00E5639F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sz w:val="20"/>
          <w:szCs w:val="20"/>
        </w:rPr>
      </w:pPr>
      <w:r w:rsidRPr="00E5639F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ZAKUP OPROGRAMOWANIA DO POZYSKIWANIA </w:t>
      </w:r>
      <w:r w:rsidRPr="00E5639F">
        <w:rPr>
          <w:rFonts w:asciiTheme="minorHAnsi" w:hAnsiTheme="minorHAnsi" w:cstheme="minorHAnsi"/>
          <w:b/>
          <w:bCs/>
          <w:sz w:val="20"/>
          <w:szCs w:val="20"/>
        </w:rPr>
        <w:t>DANYCH Z  URZĄDZEŃ MOBI</w:t>
      </w:r>
      <w:r w:rsidR="00325849">
        <w:rPr>
          <w:rFonts w:asciiTheme="minorHAnsi" w:hAnsiTheme="minorHAnsi" w:cstheme="minorHAnsi"/>
          <w:b/>
          <w:bCs/>
          <w:sz w:val="20"/>
          <w:szCs w:val="20"/>
        </w:rPr>
        <w:t xml:space="preserve">LNYCH i PC ORAZ ANALIZY DANYCH </w:t>
      </w:r>
      <w:bookmarkStart w:id="0" w:name="_GoBack"/>
      <w:bookmarkEnd w:id="0"/>
      <w:r w:rsidR="00404C47">
        <w:rPr>
          <w:rFonts w:asciiTheme="minorHAnsi" w:eastAsia="SimSun" w:hAnsiTheme="minorHAnsi" w:cstheme="minorHAnsi"/>
          <w:b/>
          <w:bCs/>
          <w:sz w:val="20"/>
          <w:szCs w:val="20"/>
        </w:rPr>
        <w:t>– 1 szt.</w:t>
      </w: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E5639F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E5639F" w:rsidRDefault="00A5511F" w:rsidP="005247E7">
            <w:pPr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</w:pPr>
            <w:r w:rsidRPr="00E5639F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 xml:space="preserve">                </w:t>
            </w:r>
            <w:r w:rsidR="00B40F50" w:rsidRPr="00E5639F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  <w:t>Wspierane systemy operacyjne: Windows XP, Windows Vista, Windows 7, Windows 8, Windows 8.1, Windows 10, Mac OSX, iOS, Android, Kindle Fire.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  <w:t>Wspierane systemy plików: NTFS,</w:t>
            </w:r>
            <w:r w:rsidR="009C0679" w:rsidRPr="00E5639F"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  <w:t xml:space="preserve"> APFS,</w:t>
            </w:r>
            <w:r w:rsidRPr="00E5639F"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  <w:t xml:space="preserve"> HFS+, HFSX, EXT2, EXT3, EXT4, FAT32, EXFAT, YAFFS2.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val="en-US" w:eastAsia="pl-PL"/>
              </w:rPr>
              <w:t>Natywne wsparcie dla formatów obrazów E01, Ex01, L01, Lx01, AD1, dd, raw, bin, img, ima, dmg, flp, vfd, bif, vmdk, vhd, vdi, xva, zip, tar.</w:t>
            </w:r>
          </w:p>
          <w:p w:rsidR="00120A12" w:rsidRPr="00E5639F" w:rsidRDefault="00120A12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Dw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ie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oddzielne 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aplikacje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, jedn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do przeprowadzenia badań i drug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do analizy.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Dodatkowe moduły umożliwiają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ce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wyszukanie dokumentów aplikacji biznesowych oraz artefaktów system</w:t>
            </w:r>
            <w:r w:rsidR="00120A12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u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operacyjnego jak również artefaktów z urządzeń mobilnych.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Wyszuk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iwanie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istniejąc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ych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i usunięt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ych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artefakt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ów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na dysku twardym oraz w zrzutach pamięci RAM, kopiach volume shadow, fizycznych i logicznych obrazach telefonów komórkowych, pojedynczych plikach i folderach.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Wyodrębni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anie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histori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i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komunikacji w portalach społecznościowych, czatach IM (Instant Messaging), artefakt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ów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znajdujących się w chmurze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(na podstawie danych</w:t>
            </w:r>
            <w:r w:rsidR="00AB72F6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badanego urządzenia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: keychain, </w:t>
            </w:r>
            <w:r w:rsidR="00C22E4D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keystore, 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userpermition)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, dan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ych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aplikacji służących udostępnianiu plików P2P, dan</w:t>
            </w:r>
            <w:r w:rsidR="0028657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ych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z kopii zapasowych telefonów komórkowych, skrzynek pocztowych, historii przeglądarek internetowych, plików graficznych oraz wideo.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Wykrywa szyfrowane nośniki za pomocą Truecrypt, </w:t>
            </w:r>
            <w:r w:rsidR="00517354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VeraCrypt, 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Bitlocker, PGP oraz Safeboot.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Firmowe techniki wyodrębniana danych pozwalające na lepsze odzyskiwanie danych z przestrzeni niezalakowanej i pamięci RAM.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Odzyskiwanie danych z urządzeń z systemem iOS i Android poprzez artefaktowe pierwsze podejście dla najpopularniejszych aplikacji.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Wykonywanie obrazów z urządzeń mobilnych z systemem iOS i Android.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Deszyfrowanie aplikacji przy wykorzystaniu danych z keychain i keystore.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 xml:space="preserve">Obsługi ekstrakcji oparta na kategoriach. 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Pobieranie i analizowanie danych z urządzeń z systemem Windows, Mac, Chromebook i Linux z podejściem opartym na artefaktach.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Wsparcie/obsługa niezaszyfrowanych obrazów wykonanych w innych programach/narzędziach do informatyki śledczej.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Możliwość importowania danych z różnych narzędzi (Ufed, XRY, GrayKey) oraz metod pozyskiwania danych (JTAG, ISP, ekstrakcja chipów).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Możliwość importowania danych z wielu źródeł takich jak PC, chmura, IoT czy pojazdy do jednego pliku sprawy.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Pozyskiwanie i analiza danych z platform mediów społecznościowych i usług w chmurze, a także pobieranie uprawnień i archiwów generowanych przez użytkownika, z takich źródeł jak Google, Apple, Microsoft, Facebook i innych</w:t>
            </w:r>
            <w:r w:rsidR="00AB72F6" w:rsidRPr="00E5639F">
              <w:rPr>
                <w:rFonts w:cstheme="minorHAnsi"/>
                <w:bCs/>
                <w:sz w:val="16"/>
                <w:szCs w:val="16"/>
              </w:rPr>
              <w:t xml:space="preserve"> na podstawie keychain i keystore wyodrębnionych z badanego urządzenia.</w:t>
            </w:r>
          </w:p>
          <w:p w:rsidR="00F9752F" w:rsidRPr="00E5639F" w:rsidRDefault="00CC5ADC" w:rsidP="00F9752F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 xml:space="preserve">Pobieranie i analiza danych o pojazdach, m. in. z ekstrakcji Berla iVe, oraz nanoszenie danych geolokalizacyjnych i innych zdarzeń na mapę świata. </w:t>
            </w:r>
          </w:p>
          <w:p w:rsidR="00CC5ADC" w:rsidRPr="00E5639F" w:rsidRDefault="00CC5ADC" w:rsidP="00F9752F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Korelacja danych pomiędzy pojazdami i innymi źródłami, które gromadzą dane geolokalizacyjne, jak np. urządzenia mobilne.</w:t>
            </w:r>
          </w:p>
        </w:tc>
      </w:tr>
      <w:tr w:rsidR="00B40F50" w:rsidRPr="00E5639F" w:rsidTr="00A65197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E5639F" w:rsidRDefault="00A5511F" w:rsidP="005247E7">
            <w:pPr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</w:pPr>
            <w:r w:rsidRPr="00E5639F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 xml:space="preserve">                       </w:t>
            </w:r>
            <w:r w:rsidR="00B40F50" w:rsidRPr="00E5639F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F50" w:rsidRPr="00E5639F" w:rsidRDefault="00B40F50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Automatyczna wizualizacja relacji pomiędzy artefaktami, plikami i </w:t>
            </w:r>
            <w:r w:rsidR="003129F3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urządzeniami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przedstawiona na osi czasu.</w:t>
            </w:r>
          </w:p>
          <w:p w:rsidR="00B40F50" w:rsidRPr="00E5639F" w:rsidRDefault="003129F3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naliz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a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tekst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u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pod kątem wyszukiwania treści 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o zabarwieniu erotycznym.</w:t>
            </w:r>
          </w:p>
          <w:p w:rsidR="003129F3" w:rsidRPr="00E5639F" w:rsidRDefault="003129F3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Szybka identyfikacja zdefiniowanych słów kluczowych </w:t>
            </w:r>
            <w:r w:rsidR="00795C96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dotyczących obszarów zainteresowania dla danej sprawy.</w:t>
            </w:r>
          </w:p>
          <w:p w:rsidR="00B40F50" w:rsidRPr="00E5639F" w:rsidRDefault="00B40F50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Szczegółowe podsumowanie analizy i raportowanie błędów</w:t>
            </w:r>
            <w:r w:rsidR="00FA494D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.</w:t>
            </w:r>
          </w:p>
          <w:p w:rsidR="001C11FC" w:rsidRPr="00E5639F" w:rsidRDefault="001C11FC" w:rsidP="001C11F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Możliwość tworzenia szablonów raportów.</w:t>
            </w:r>
          </w:p>
          <w:p w:rsidR="001C11FC" w:rsidRPr="00E5639F" w:rsidRDefault="001C11FC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Możliwość swobodnego tworzenia i dopasowywania 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raport</w:t>
            </w:r>
            <w:r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>ów.</w:t>
            </w:r>
            <w:r w:rsidR="00B40F50" w:rsidRPr="00E5639F">
              <w:rPr>
                <w:rFonts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Wbudowane narzędzia/moduły analityczne.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Optyczne rozpoznawanie znaków (OCR) zoptymalizowane do wyodrębniania tekstu z plików PDF, zeskanowanych dokumentów, obrazów dokumentów i innych obrazów, które mogą być zawarte w wiadomościach e-mail.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Natywne wsparcie analizy dowodów ze wskazanych źródeł w jednym pliku sprawy.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Sprawdzanie danych w poszukiwaniu nieznanych/potencjalnych baz danych i tworzenie z tych danych artefaktów.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lastRenderedPageBreak/>
              <w:t>Zastosowanie technologii uczenia maszynowego w celu wykrywania dowodów.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Automatyczne odszyfrowywanie poprzez wykorzystanie i pobieranie tokenów i łańcuchów kluczy z urządzeń mobilnych.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>Wyszukiwanie obrazów na podstawie treści (CBIR) oraz uczenie maszynowe do przeszukiwania obrazów i tekstu.</w:t>
            </w:r>
          </w:p>
          <w:p w:rsidR="00CC5ADC" w:rsidRPr="00E5639F" w:rsidRDefault="00CC5ADC" w:rsidP="00CC5ADC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E5639F">
              <w:rPr>
                <w:rFonts w:cstheme="minorHAnsi"/>
                <w:bCs/>
                <w:sz w:val="16"/>
                <w:szCs w:val="16"/>
              </w:rPr>
              <w:t xml:space="preserve">Analiza archiwów takich jak np. </w:t>
            </w:r>
            <w:r w:rsidRPr="00E5639F">
              <w:rPr>
                <w:rFonts w:cstheme="minorHAnsi"/>
                <w:bCs/>
                <w:sz w:val="16"/>
                <w:szCs w:val="16"/>
                <w:lang w:val="en-US"/>
              </w:rPr>
              <w:t>Google Takeout, Facebook Download Your Information oraz inne.</w:t>
            </w:r>
          </w:p>
        </w:tc>
      </w:tr>
      <w:tr w:rsidR="00A65197" w:rsidRPr="00E5639F" w:rsidTr="00A65197">
        <w:trPr>
          <w:trHeight w:val="279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197" w:rsidRPr="00E5639F" w:rsidRDefault="00A65197" w:rsidP="005247E7">
            <w:pPr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97" w:rsidRPr="00A65197" w:rsidRDefault="00A65197" w:rsidP="00A65197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D4A63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</w:p>
    <w:p w:rsidR="00A65197" w:rsidRPr="00FB27E7" w:rsidRDefault="00A65197" w:rsidP="00032899">
      <w:pPr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  <w:lang w:val="en-US"/>
        </w:rPr>
      </w:pPr>
      <w:r w:rsidRPr="00FB27E7">
        <w:rPr>
          <w:rFonts w:cstheme="minorHAnsi"/>
          <w:b/>
          <w:bCs/>
          <w:sz w:val="20"/>
          <w:szCs w:val="20"/>
          <w:u w:val="single"/>
          <w:lang w:val="en-US"/>
        </w:rPr>
        <w:t>DODATKOWO DLA PRZEDMIOTOWEGO OPROGRAMOWANIA :</w:t>
      </w:r>
    </w:p>
    <w:p w:rsidR="00A65197" w:rsidRPr="00A65197" w:rsidRDefault="00A65197" w:rsidP="00A65197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A65197">
        <w:rPr>
          <w:rFonts w:cstheme="minorHAnsi"/>
          <w:bCs/>
          <w:sz w:val="20"/>
          <w:szCs w:val="20"/>
          <w:lang w:val="en-US"/>
        </w:rPr>
        <w:t>Roczny dostęp online do pakietu autorskich szkoleń producenta oprogramowania w zakresie minimalnym zgod</w:t>
      </w:r>
      <w:r w:rsidR="00FB27E7">
        <w:rPr>
          <w:rFonts w:cstheme="minorHAnsi"/>
          <w:bCs/>
          <w:sz w:val="20"/>
          <w:szCs w:val="20"/>
          <w:lang w:val="en-US"/>
        </w:rPr>
        <w:t>nie z listą tematyczną szkoleń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Podstawy informatyki śledczej komputerów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Zaawansowana informatyka śledcza komputerów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Zaawansowana informatyka śledcza urządzeń mobilnych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Badanie incydentów komputerowych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Badanie komputerów z system macOS</w:t>
      </w:r>
    </w:p>
    <w:p w:rsidR="00A65197" w:rsidRPr="00FB27E7" w:rsidRDefault="00A6519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Zbieranie i badanie danych z Internetu i tzw. chmury</w:t>
      </w:r>
    </w:p>
    <w:p w:rsidR="00A65197" w:rsidRPr="00FB27E7" w:rsidRDefault="00FB27E7" w:rsidP="00FB27E7">
      <w:pPr>
        <w:pStyle w:val="Akapitzlist"/>
        <w:numPr>
          <w:ilvl w:val="0"/>
          <w:numId w:val="23"/>
        </w:num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FB27E7">
        <w:rPr>
          <w:rFonts w:cstheme="minorHAnsi"/>
          <w:bCs/>
          <w:sz w:val="20"/>
          <w:szCs w:val="20"/>
          <w:lang w:val="en-US"/>
        </w:rPr>
        <w:t>Analiza systemu plików iOS</w:t>
      </w:r>
    </w:p>
    <w:p w:rsidR="00A65197" w:rsidRPr="00E5639F" w:rsidRDefault="00A65197" w:rsidP="00A65197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A65197">
        <w:rPr>
          <w:rFonts w:cstheme="minorHAnsi"/>
          <w:bCs/>
          <w:sz w:val="20"/>
          <w:szCs w:val="20"/>
          <w:lang w:val="en-US"/>
        </w:rPr>
        <w:t xml:space="preserve">Szkolenia </w:t>
      </w:r>
      <w:r w:rsidR="00FB27E7">
        <w:rPr>
          <w:rFonts w:cstheme="minorHAnsi"/>
          <w:bCs/>
          <w:sz w:val="20"/>
          <w:szCs w:val="20"/>
          <w:lang w:val="en-US"/>
        </w:rPr>
        <w:t>powinny być</w:t>
      </w:r>
      <w:r w:rsidRPr="00A65197">
        <w:rPr>
          <w:rFonts w:cstheme="minorHAnsi"/>
          <w:bCs/>
          <w:sz w:val="20"/>
          <w:szCs w:val="20"/>
          <w:lang w:val="en-US"/>
        </w:rPr>
        <w:t xml:space="preserve"> realizowane online z instruktorem lub do online do samodzielnego szkole</w:t>
      </w:r>
      <w:r w:rsidR="00FB27E7">
        <w:rPr>
          <w:rFonts w:cstheme="minorHAnsi"/>
          <w:bCs/>
          <w:sz w:val="20"/>
          <w:szCs w:val="20"/>
          <w:lang w:val="en-US"/>
        </w:rPr>
        <w:t>nia, w terminie wybranym przez Z</w:t>
      </w:r>
      <w:r w:rsidRPr="00A65197">
        <w:rPr>
          <w:rFonts w:cstheme="minorHAnsi"/>
          <w:bCs/>
          <w:sz w:val="20"/>
          <w:szCs w:val="20"/>
          <w:lang w:val="en-US"/>
        </w:rPr>
        <w:t>amawiającego z listy dostępnych terminów wskazaną przez producenta oprogramowania w ciągu roku od dnia zakupu.</w:t>
      </w:r>
    </w:p>
    <w:p w:rsidR="00A5511F" w:rsidRPr="00E5639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E5639F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E5639F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E5639F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5639F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E5639F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>nie dopuszcza się oprogramowania do zastosowań domowych,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b/>
          <w:sz w:val="20"/>
          <w:szCs w:val="20"/>
        </w:rPr>
        <w:t xml:space="preserve">licencja musi być </w:t>
      </w:r>
      <w:r w:rsidR="00774EB4" w:rsidRPr="00E5639F">
        <w:rPr>
          <w:rFonts w:cstheme="minorHAnsi"/>
          <w:b/>
          <w:sz w:val="20"/>
          <w:szCs w:val="20"/>
        </w:rPr>
        <w:t>czasowa</w:t>
      </w:r>
      <w:r w:rsidR="00774EB4" w:rsidRPr="00E5639F">
        <w:rPr>
          <w:rFonts w:cstheme="minorHAnsi"/>
          <w:sz w:val="20"/>
          <w:szCs w:val="20"/>
        </w:rPr>
        <w:t xml:space="preserve"> </w:t>
      </w:r>
      <w:r w:rsidR="00774EB4" w:rsidRPr="00E5639F">
        <w:rPr>
          <w:rFonts w:cstheme="minorHAnsi"/>
          <w:b/>
          <w:color w:val="000000"/>
          <w:sz w:val="20"/>
          <w:szCs w:val="20"/>
        </w:rPr>
        <w:t xml:space="preserve">(subskrypcja) na okres </w:t>
      </w:r>
      <w:r w:rsidR="00015C4E">
        <w:rPr>
          <w:rFonts w:cstheme="minorHAnsi"/>
          <w:b/>
          <w:color w:val="000000"/>
          <w:sz w:val="20"/>
          <w:szCs w:val="20"/>
        </w:rPr>
        <w:t>36</w:t>
      </w:r>
      <w:r w:rsidR="00774EB4" w:rsidRPr="00E5639F">
        <w:rPr>
          <w:rFonts w:cstheme="minorHAnsi"/>
          <w:b/>
          <w:color w:val="000000"/>
          <w:sz w:val="20"/>
          <w:szCs w:val="20"/>
        </w:rPr>
        <w:t xml:space="preserve"> miesięcy począwszy od dnia dostawy (podpisania przez Zamawiającego protokołu odbioru stanowiącego załącznik nr 3 do umowy),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E5639F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E5639F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E5639F">
        <w:rPr>
          <w:rFonts w:cstheme="minorHAnsi"/>
          <w:sz w:val="20"/>
          <w:szCs w:val="20"/>
        </w:rPr>
        <w:t>,</w:t>
      </w:r>
    </w:p>
    <w:p w:rsidR="00A5511F" w:rsidRPr="00E5639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E5639F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E5639F" w:rsidRDefault="00A5511F" w:rsidP="00FB27E7">
      <w:pPr>
        <w:tabs>
          <w:tab w:val="left" w:pos="420"/>
        </w:tabs>
        <w:spacing w:line="276" w:lineRule="auto"/>
        <w:jc w:val="both"/>
        <w:rPr>
          <w:rFonts w:cstheme="minorHAnsi"/>
          <w:sz w:val="20"/>
          <w:szCs w:val="20"/>
        </w:rPr>
      </w:pPr>
    </w:p>
    <w:p w:rsidR="00A5511F" w:rsidRPr="00E5639F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E5639F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E5639F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BD4A63" w:rsidRPr="00E5639F" w:rsidRDefault="00BD4A63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E5639F">
        <w:rPr>
          <w:rFonts w:cstheme="minorHAnsi"/>
          <w:bCs/>
          <w:sz w:val="20"/>
          <w:szCs w:val="20"/>
        </w:rPr>
        <w:tab/>
      </w:r>
    </w:p>
    <w:p w:rsidR="00C344D9" w:rsidRPr="00E5639F" w:rsidRDefault="00C344D9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C344D9" w:rsidRPr="00E5639F" w:rsidRDefault="00C344D9" w:rsidP="00C344D9">
      <w:pPr>
        <w:spacing w:line="276" w:lineRule="auto"/>
        <w:ind w:left="6372"/>
        <w:jc w:val="both"/>
        <w:rPr>
          <w:rFonts w:cstheme="minorHAnsi"/>
          <w:bCs/>
          <w:sz w:val="20"/>
          <w:szCs w:val="20"/>
        </w:rPr>
      </w:pPr>
      <w:r w:rsidRPr="00E5639F">
        <w:rPr>
          <w:rFonts w:cstheme="minorHAnsi"/>
          <w:bCs/>
          <w:sz w:val="20"/>
          <w:szCs w:val="20"/>
        </w:rPr>
        <w:t>………………………………………….</w:t>
      </w:r>
    </w:p>
    <w:p w:rsidR="00C344D9" w:rsidRPr="00E5639F" w:rsidRDefault="00C344D9" w:rsidP="00C344D9">
      <w:pPr>
        <w:spacing w:line="276" w:lineRule="auto"/>
        <w:ind w:left="6372"/>
        <w:jc w:val="both"/>
        <w:rPr>
          <w:rFonts w:cstheme="minorHAnsi"/>
          <w:bCs/>
          <w:sz w:val="20"/>
          <w:szCs w:val="20"/>
        </w:rPr>
      </w:pPr>
      <w:r w:rsidRPr="00E5639F">
        <w:rPr>
          <w:rFonts w:cstheme="minorHAnsi"/>
          <w:bCs/>
          <w:sz w:val="20"/>
          <w:szCs w:val="20"/>
        </w:rPr>
        <w:t xml:space="preserve">                   (podpis)</w:t>
      </w:r>
    </w:p>
    <w:sectPr w:rsidR="00C344D9" w:rsidRPr="00E5639F" w:rsidSect="00A5511F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41" w:rsidRDefault="001A4441" w:rsidP="00532B31">
      <w:pPr>
        <w:spacing w:after="0" w:line="240" w:lineRule="auto"/>
      </w:pPr>
      <w:r>
        <w:separator/>
      </w:r>
    </w:p>
  </w:endnote>
  <w:endnote w:type="continuationSeparator" w:id="0">
    <w:p w:rsidR="001A4441" w:rsidRDefault="001A444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41" w:rsidRDefault="001A4441" w:rsidP="00532B31">
      <w:pPr>
        <w:spacing w:after="0" w:line="240" w:lineRule="auto"/>
      </w:pPr>
      <w:r>
        <w:separator/>
      </w:r>
    </w:p>
  </w:footnote>
  <w:footnote w:type="continuationSeparator" w:id="0">
    <w:p w:rsidR="001A4441" w:rsidRDefault="001A4441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A2F5A"/>
    <w:multiLevelType w:val="hybridMultilevel"/>
    <w:tmpl w:val="9912E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1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9"/>
  </w:num>
  <w:num w:numId="5">
    <w:abstractNumId w:val="15"/>
  </w:num>
  <w:num w:numId="6">
    <w:abstractNumId w:val="17"/>
  </w:num>
  <w:num w:numId="7">
    <w:abstractNumId w:val="8"/>
  </w:num>
  <w:num w:numId="8">
    <w:abstractNumId w:val="1"/>
  </w:num>
  <w:num w:numId="9">
    <w:abstractNumId w:val="13"/>
  </w:num>
  <w:num w:numId="10">
    <w:abstractNumId w:val="10"/>
  </w:num>
  <w:num w:numId="11">
    <w:abstractNumId w:val="16"/>
  </w:num>
  <w:num w:numId="12">
    <w:abstractNumId w:val="14"/>
  </w:num>
  <w:num w:numId="13">
    <w:abstractNumId w:val="6"/>
  </w:num>
  <w:num w:numId="14">
    <w:abstractNumId w:val="9"/>
  </w:num>
  <w:num w:numId="15">
    <w:abstractNumId w:val="21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"/>
  </w:num>
  <w:num w:numId="18">
    <w:abstractNumId w:val="18"/>
  </w:num>
  <w:num w:numId="19">
    <w:abstractNumId w:val="20"/>
  </w:num>
  <w:num w:numId="20">
    <w:abstractNumId w:val="4"/>
  </w:num>
  <w:num w:numId="2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15C4E"/>
    <w:rsid w:val="00032899"/>
    <w:rsid w:val="00097351"/>
    <w:rsid w:val="000C4F6C"/>
    <w:rsid w:val="000C5D5B"/>
    <w:rsid w:val="000F649B"/>
    <w:rsid w:val="00120A12"/>
    <w:rsid w:val="0014277F"/>
    <w:rsid w:val="00166516"/>
    <w:rsid w:val="00186326"/>
    <w:rsid w:val="001A4441"/>
    <w:rsid w:val="001C11FC"/>
    <w:rsid w:val="001C2529"/>
    <w:rsid w:val="00213DEA"/>
    <w:rsid w:val="00286570"/>
    <w:rsid w:val="002F43D2"/>
    <w:rsid w:val="003129F3"/>
    <w:rsid w:val="00325849"/>
    <w:rsid w:val="00350389"/>
    <w:rsid w:val="00367109"/>
    <w:rsid w:val="0038593C"/>
    <w:rsid w:val="003D2CE2"/>
    <w:rsid w:val="00404C47"/>
    <w:rsid w:val="00404DF6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8627F"/>
    <w:rsid w:val="00592FC9"/>
    <w:rsid w:val="00595BFD"/>
    <w:rsid w:val="005F0178"/>
    <w:rsid w:val="00627A49"/>
    <w:rsid w:val="0064381A"/>
    <w:rsid w:val="00643909"/>
    <w:rsid w:val="006875E1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C36D6"/>
    <w:rsid w:val="008E2F5C"/>
    <w:rsid w:val="00900668"/>
    <w:rsid w:val="00965CD7"/>
    <w:rsid w:val="0099286F"/>
    <w:rsid w:val="009A40A1"/>
    <w:rsid w:val="009B0D52"/>
    <w:rsid w:val="009C0679"/>
    <w:rsid w:val="00A04664"/>
    <w:rsid w:val="00A31DD9"/>
    <w:rsid w:val="00A4024D"/>
    <w:rsid w:val="00A5511F"/>
    <w:rsid w:val="00A65197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B194D"/>
    <w:rsid w:val="00CC5ADC"/>
    <w:rsid w:val="00CD6BDF"/>
    <w:rsid w:val="00CF1CA1"/>
    <w:rsid w:val="00D047D6"/>
    <w:rsid w:val="00D31855"/>
    <w:rsid w:val="00DA5BBD"/>
    <w:rsid w:val="00DE7B31"/>
    <w:rsid w:val="00E01EFA"/>
    <w:rsid w:val="00E21C2B"/>
    <w:rsid w:val="00E42A08"/>
    <w:rsid w:val="00E5639F"/>
    <w:rsid w:val="00E622BB"/>
    <w:rsid w:val="00E67745"/>
    <w:rsid w:val="00E70C12"/>
    <w:rsid w:val="00E84D6F"/>
    <w:rsid w:val="00E85B8F"/>
    <w:rsid w:val="00EF64E6"/>
    <w:rsid w:val="00F67FDE"/>
    <w:rsid w:val="00F83EC7"/>
    <w:rsid w:val="00F87489"/>
    <w:rsid w:val="00F9752F"/>
    <w:rsid w:val="00FA0D2D"/>
    <w:rsid w:val="00FA2EF2"/>
    <w:rsid w:val="00FA494D"/>
    <w:rsid w:val="00FA5DAC"/>
    <w:rsid w:val="00FB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4BB5A-CA44-46A6-9014-BEC424CE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92206-C8D4-488F-86A3-83D3BF89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9</cp:revision>
  <cp:lastPrinted>2024-09-23T08:31:00Z</cp:lastPrinted>
  <dcterms:created xsi:type="dcterms:W3CDTF">2024-08-29T07:00:00Z</dcterms:created>
  <dcterms:modified xsi:type="dcterms:W3CDTF">2024-09-23T08:31:00Z</dcterms:modified>
</cp:coreProperties>
</file>