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4C" w:rsidRPr="00CA40E4" w:rsidRDefault="00F5244C" w:rsidP="008A60CE">
      <w:pPr>
        <w:pStyle w:val="Bezodstpw"/>
        <w:spacing w:line="360" w:lineRule="auto"/>
        <w:jc w:val="center"/>
        <w:rPr>
          <w:b/>
          <w:u w:val="single"/>
        </w:rPr>
      </w:pPr>
    </w:p>
    <w:p w:rsidR="00F5244C" w:rsidRDefault="00174AAE" w:rsidP="008A60CE">
      <w:pPr>
        <w:pStyle w:val="Bezodstpw"/>
        <w:spacing w:line="360" w:lineRule="auto"/>
        <w:jc w:val="center"/>
        <w:rPr>
          <w:b/>
        </w:rPr>
      </w:pPr>
      <w:r w:rsidRPr="008A60CE">
        <w:rPr>
          <w:b/>
        </w:rPr>
        <w:t>SZCZEGÓŁOWY OPIS PRZEDMIOTU ZAMÓWIENIA</w:t>
      </w:r>
    </w:p>
    <w:p w:rsidR="009C0903" w:rsidRPr="008A60CE" w:rsidRDefault="009C0903" w:rsidP="008A60CE">
      <w:pPr>
        <w:pStyle w:val="Bezodstpw"/>
        <w:spacing w:line="360" w:lineRule="auto"/>
        <w:jc w:val="center"/>
        <w:rPr>
          <w:b/>
        </w:rPr>
      </w:pPr>
    </w:p>
    <w:p w:rsidR="00F5244C" w:rsidRPr="009C0903" w:rsidRDefault="009C0903" w:rsidP="009C0903">
      <w:pPr>
        <w:pStyle w:val="Bezodstpw"/>
        <w:spacing w:line="360" w:lineRule="auto"/>
        <w:jc w:val="center"/>
      </w:pPr>
      <w:r w:rsidRPr="009C0903">
        <w:t xml:space="preserve">Ubezpieczenie od odpowiedzialności cywilnej </w:t>
      </w:r>
      <w:r w:rsidR="00A51357">
        <w:t>ogólnej</w:t>
      </w:r>
      <w:r w:rsidR="00A25830">
        <w:t xml:space="preserve"> </w:t>
      </w:r>
      <w:r w:rsidRPr="009C0903">
        <w:rPr>
          <w:color w:val="auto"/>
          <w:lang w:eastAsia="pl-PL"/>
        </w:rPr>
        <w:t xml:space="preserve">w związku z prowadzoną działalnością </w:t>
      </w:r>
      <w:r w:rsidRPr="009C0903">
        <w:rPr>
          <w:color w:val="auto"/>
          <w:lang w:eastAsia="pl-PL"/>
        </w:rPr>
        <w:br/>
        <w:t>i posiadanym lub użytkowanym mieniem</w:t>
      </w:r>
    </w:p>
    <w:p w:rsidR="00F5244C" w:rsidRPr="00CA40E4" w:rsidRDefault="00F5244C" w:rsidP="00CF670D">
      <w:pPr>
        <w:pStyle w:val="Bezodstpw"/>
        <w:suppressAutoHyphens w:val="0"/>
        <w:spacing w:line="360" w:lineRule="auto"/>
        <w:ind w:left="1080"/>
        <w:jc w:val="both"/>
        <w:rPr>
          <w:b/>
        </w:rPr>
      </w:pPr>
    </w:p>
    <w:p w:rsidR="001D685D" w:rsidRDefault="001D685D" w:rsidP="00CF670D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outlineLvl w:val="5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Zamawiający</w:t>
      </w:r>
    </w:p>
    <w:p w:rsidR="001D685D" w:rsidRPr="001D685D" w:rsidRDefault="001D685D" w:rsidP="001D685D">
      <w:pPr>
        <w:pStyle w:val="Akapitzlist"/>
        <w:numPr>
          <w:ilvl w:val="0"/>
          <w:numId w:val="44"/>
        </w:numPr>
        <w:suppressAutoHyphens w:val="0"/>
        <w:spacing w:line="360" w:lineRule="auto"/>
        <w:ind w:left="851" w:hanging="425"/>
        <w:jc w:val="both"/>
        <w:outlineLvl w:val="5"/>
        <w:rPr>
          <w:bCs/>
          <w:color w:val="auto"/>
          <w:lang w:eastAsia="pl-PL"/>
        </w:rPr>
      </w:pPr>
      <w:r w:rsidRPr="001D685D">
        <w:rPr>
          <w:bCs/>
          <w:color w:val="auto"/>
          <w:lang w:eastAsia="pl-PL"/>
        </w:rPr>
        <w:t>Centrum Szkolenia Policji w Legionowie</w:t>
      </w:r>
      <w:r>
        <w:rPr>
          <w:bCs/>
          <w:color w:val="auto"/>
          <w:lang w:eastAsia="pl-PL"/>
        </w:rPr>
        <w:t xml:space="preserve"> jest </w:t>
      </w:r>
      <w:r w:rsidRPr="001D685D">
        <w:rPr>
          <w:bCs/>
          <w:color w:val="auto"/>
          <w:lang w:eastAsia="pl-PL"/>
        </w:rPr>
        <w:t xml:space="preserve">państwową jednostką budżetową </w:t>
      </w:r>
      <w:r>
        <w:rPr>
          <w:bCs/>
          <w:color w:val="auto"/>
          <w:lang w:eastAsia="pl-PL"/>
        </w:rPr>
        <w:br/>
      </w:r>
      <w:r w:rsidRPr="001D685D">
        <w:rPr>
          <w:bCs/>
          <w:color w:val="auto"/>
          <w:lang w:eastAsia="pl-PL"/>
        </w:rPr>
        <w:t xml:space="preserve">w rozumieniu art. </w:t>
      </w:r>
      <w:r w:rsidR="00D95676">
        <w:rPr>
          <w:bCs/>
          <w:color w:val="auto"/>
          <w:lang w:eastAsia="pl-PL"/>
        </w:rPr>
        <w:t>11</w:t>
      </w:r>
      <w:r w:rsidRPr="001D685D">
        <w:rPr>
          <w:bCs/>
          <w:color w:val="auto"/>
          <w:lang w:eastAsia="pl-PL"/>
        </w:rPr>
        <w:t xml:space="preserve"> ustawy z dnia </w:t>
      </w:r>
      <w:r w:rsidR="00D95676">
        <w:rPr>
          <w:bCs/>
          <w:color w:val="auto"/>
          <w:lang w:eastAsia="pl-PL"/>
        </w:rPr>
        <w:t>27 sierpnia 2009</w:t>
      </w:r>
      <w:r w:rsidRPr="001D685D">
        <w:rPr>
          <w:bCs/>
          <w:color w:val="auto"/>
          <w:lang w:eastAsia="pl-PL"/>
        </w:rPr>
        <w:t xml:space="preserve"> r. </w:t>
      </w:r>
      <w:r w:rsidRPr="001D685D">
        <w:rPr>
          <w:bCs/>
          <w:i/>
          <w:color w:val="auto"/>
          <w:lang w:eastAsia="pl-PL"/>
        </w:rPr>
        <w:t>o finansach publicznych</w:t>
      </w:r>
      <w:r>
        <w:rPr>
          <w:bCs/>
          <w:i/>
          <w:color w:val="auto"/>
          <w:lang w:eastAsia="pl-PL"/>
        </w:rPr>
        <w:t>.</w:t>
      </w:r>
    </w:p>
    <w:p w:rsidR="001D685D" w:rsidRDefault="001D685D" w:rsidP="001D685D">
      <w:pPr>
        <w:pStyle w:val="Akapitzlist"/>
        <w:numPr>
          <w:ilvl w:val="0"/>
          <w:numId w:val="44"/>
        </w:numPr>
        <w:suppressAutoHyphens w:val="0"/>
        <w:spacing w:line="360" w:lineRule="auto"/>
        <w:ind w:left="851" w:hanging="425"/>
        <w:jc w:val="both"/>
        <w:outlineLvl w:val="5"/>
        <w:rPr>
          <w:bCs/>
          <w:color w:val="auto"/>
          <w:lang w:eastAsia="pl-PL"/>
        </w:rPr>
      </w:pPr>
      <w:r w:rsidRPr="001D685D">
        <w:rPr>
          <w:bCs/>
          <w:color w:val="auto"/>
          <w:lang w:eastAsia="pl-PL"/>
        </w:rPr>
        <w:t>Przedmiotem działalności Centrum</w:t>
      </w:r>
      <w:r>
        <w:rPr>
          <w:bCs/>
          <w:color w:val="auto"/>
          <w:lang w:eastAsia="pl-PL"/>
        </w:rPr>
        <w:t xml:space="preserve"> Szkolenia Policji w Legionowie</w:t>
      </w:r>
      <w:r w:rsidRPr="001D685D">
        <w:rPr>
          <w:bCs/>
          <w:color w:val="auto"/>
          <w:lang w:eastAsia="pl-PL"/>
        </w:rPr>
        <w:t>, w tym działalności podstawowej, jest szkolenie</w:t>
      </w:r>
      <w:r>
        <w:rPr>
          <w:bCs/>
          <w:color w:val="auto"/>
          <w:lang w:eastAsia="pl-PL"/>
        </w:rPr>
        <w:t xml:space="preserve"> </w:t>
      </w:r>
      <w:r w:rsidRPr="001D685D">
        <w:rPr>
          <w:bCs/>
          <w:color w:val="auto"/>
          <w:lang w:eastAsia="pl-PL"/>
        </w:rPr>
        <w:t xml:space="preserve">i doskonalenie zawodowe policjantów </w:t>
      </w:r>
      <w:r>
        <w:rPr>
          <w:bCs/>
          <w:color w:val="auto"/>
          <w:lang w:eastAsia="pl-PL"/>
        </w:rPr>
        <w:br/>
      </w:r>
      <w:r w:rsidRPr="001D685D">
        <w:rPr>
          <w:bCs/>
          <w:color w:val="auto"/>
          <w:lang w:eastAsia="pl-PL"/>
        </w:rPr>
        <w:t>i pracowników Policji.</w:t>
      </w:r>
    </w:p>
    <w:p w:rsidR="001D685D" w:rsidRPr="001D685D" w:rsidRDefault="00D95676" w:rsidP="001D685D">
      <w:pPr>
        <w:pStyle w:val="Akapitzlist"/>
        <w:numPr>
          <w:ilvl w:val="0"/>
          <w:numId w:val="44"/>
        </w:numPr>
        <w:suppressAutoHyphens w:val="0"/>
        <w:spacing w:line="360" w:lineRule="auto"/>
        <w:ind w:left="851" w:hanging="425"/>
        <w:jc w:val="both"/>
        <w:outlineLvl w:val="5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Działalność podstawowa obejmuje żywienie zbiorowe (</w:t>
      </w:r>
      <w:r>
        <w:t xml:space="preserve">wszystkie posiłki przygotowywane są zgodnie z normami HACCP) </w:t>
      </w:r>
      <w:r>
        <w:rPr>
          <w:bCs/>
          <w:color w:val="auto"/>
          <w:lang w:eastAsia="pl-PL"/>
        </w:rPr>
        <w:t xml:space="preserve">oraz zakwaterowanie </w:t>
      </w:r>
      <w:r w:rsidRPr="001D685D">
        <w:rPr>
          <w:bCs/>
          <w:color w:val="auto"/>
          <w:lang w:eastAsia="pl-PL"/>
        </w:rPr>
        <w:t xml:space="preserve">policjantów </w:t>
      </w:r>
      <w:r>
        <w:rPr>
          <w:bCs/>
          <w:color w:val="auto"/>
          <w:lang w:eastAsia="pl-PL"/>
        </w:rPr>
        <w:br/>
      </w:r>
      <w:r w:rsidRPr="001D685D">
        <w:rPr>
          <w:bCs/>
          <w:color w:val="auto"/>
          <w:lang w:eastAsia="pl-PL"/>
        </w:rPr>
        <w:t>i pracowników Policji</w:t>
      </w:r>
      <w:r>
        <w:rPr>
          <w:bCs/>
          <w:color w:val="auto"/>
          <w:lang w:eastAsia="pl-PL"/>
        </w:rPr>
        <w:t>, przebywających w jednostce na kursach i szkoleniach.</w:t>
      </w:r>
    </w:p>
    <w:p w:rsidR="00CA40E4" w:rsidRPr="00CA40E4" w:rsidRDefault="000364C8" w:rsidP="00CF670D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outlineLvl w:val="5"/>
        <w:rPr>
          <w:b/>
          <w:bCs/>
          <w:color w:val="auto"/>
          <w:lang w:eastAsia="pl-PL"/>
        </w:rPr>
      </w:pPr>
      <w:r w:rsidRPr="00CA40E4">
        <w:rPr>
          <w:b/>
          <w:bCs/>
          <w:color w:val="auto"/>
          <w:lang w:eastAsia="pl-PL"/>
        </w:rPr>
        <w:t>Zakres terytorialny</w:t>
      </w:r>
    </w:p>
    <w:p w:rsidR="00CA40E4" w:rsidRPr="00CA40E4" w:rsidRDefault="00CA40E4" w:rsidP="00CF670D">
      <w:pPr>
        <w:suppressAutoHyphens w:val="0"/>
        <w:spacing w:line="360" w:lineRule="auto"/>
        <w:ind w:left="426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Ochrona ubezpieczeniowa obejmuje szkody powstałe na terytorium Rzeczypospolitej Polskiej. </w:t>
      </w:r>
    </w:p>
    <w:p w:rsidR="00CA40E4" w:rsidRPr="00CA40E4" w:rsidRDefault="000364C8" w:rsidP="00CF670D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color w:val="auto"/>
          <w:lang w:eastAsia="pl-PL"/>
        </w:rPr>
      </w:pPr>
      <w:r w:rsidRPr="00CA40E4">
        <w:rPr>
          <w:b/>
          <w:bCs/>
          <w:color w:val="auto"/>
          <w:lang w:eastAsia="pl-PL"/>
        </w:rPr>
        <w:t>Przedmiot i zakres ochrony ubezpieczeniowej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Odpowiedzialność cywilna delikt, kontrakt </w:t>
      </w:r>
      <w:r w:rsidR="000364C8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przedmiotem ubezpieczenia jest odpowiedzialność cywilna ubezpieczającego (deliktowa, kontraktowa), gdy </w:t>
      </w:r>
      <w:r w:rsidR="000364C8">
        <w:rPr>
          <w:color w:val="auto"/>
          <w:lang w:eastAsia="pl-PL"/>
        </w:rPr>
        <w:br/>
      </w:r>
      <w:r w:rsidRPr="00CA40E4">
        <w:rPr>
          <w:color w:val="auto"/>
          <w:lang w:eastAsia="pl-PL"/>
        </w:rPr>
        <w:t>w związku z prowadzoną działalnością i posiadanym lub użytkowanym mieniem zobowiązany jest on do naprawienia sz</w:t>
      </w:r>
      <w:r w:rsidR="008A60CE">
        <w:rPr>
          <w:color w:val="auto"/>
          <w:lang w:eastAsia="pl-PL"/>
        </w:rPr>
        <w:t>kody wyrządzonej osobom trzecim;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>Ubezpieczenie obejmuje wypadki ubezpieczeniowe, które wystąpiły w okresie ubezpieczenia, chociażby poszkodowany zgłosił roszczenie po zakończeniu okresu ubezpieczenia, jednakże przed upływem terminów przedawnienia roszczeń – zgodnie z art. 819 § 3 k.c. Przez wypadek ubezpieczeniowy rozumie się wystąpienie w okresie ubezpieczenia szkody objętej ochroną ubezpieczeniową, za którą Ubezp</w:t>
      </w:r>
      <w:r w:rsidR="008A60CE">
        <w:rPr>
          <w:color w:val="auto"/>
          <w:lang w:eastAsia="pl-PL"/>
        </w:rPr>
        <w:t>ieczony ponosi odpowiedzialność;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Niezależnie od odszkodowania, w granicach sumy gwarancyjnej Ubezpieczyciel wypłaca uzasadnione i uzgodnione koszty procesu z udziałem ubezpieczającego, jako strony pozwanej, przeciwko której toczy się proces o naprawienie szkody </w:t>
      </w:r>
      <w:r w:rsidR="008A60CE">
        <w:rPr>
          <w:color w:val="auto"/>
          <w:lang w:eastAsia="pl-PL"/>
        </w:rPr>
        <w:t>objętej ochroną ubezpieczeniową;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lastRenderedPageBreak/>
        <w:t>Ochroną ubezpieczeniową objęte są szkody powstałe wskutek rażącego niedbalstwa do</w:t>
      </w:r>
      <w:r w:rsidR="008A60CE">
        <w:rPr>
          <w:color w:val="auto"/>
          <w:lang w:eastAsia="pl-PL"/>
        </w:rPr>
        <w:t>tyczy całości ubezpieczenia OC;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Odpowiedzialność cywilna w związku z prowadzeniem stołówek </w:t>
      </w:r>
      <w:r w:rsidR="008A60CE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włączenie do zakresu ubezpieczenia o szkody wyrządzone w związku z prowadzeniem stołówek (żywienie zbiorowe), w tym szkody polegające na zarażeniu salmonellą, czerwonką lub inną chorobą przenoszoną drogą pokarmową.</w:t>
      </w:r>
    </w:p>
    <w:p w:rsid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Rozszerzenie o</w:t>
      </w:r>
      <w:r w:rsidRPr="00CA40E4">
        <w:rPr>
          <w:color w:val="auto"/>
          <w:lang w:eastAsia="pl-PL"/>
        </w:rPr>
        <w:t>dpowiedzialność cywiln</w:t>
      </w:r>
      <w:r>
        <w:rPr>
          <w:color w:val="auto"/>
          <w:lang w:eastAsia="pl-PL"/>
        </w:rPr>
        <w:t xml:space="preserve">ej w związku z prowadzoną działalnością </w:t>
      </w:r>
      <w:r>
        <w:rPr>
          <w:color w:val="auto"/>
          <w:lang w:eastAsia="pl-PL"/>
        </w:rPr>
        <w:br/>
        <w:t>i posiadanym mieniem o odpowiedzialność</w:t>
      </w:r>
      <w:r w:rsidRPr="00CA40E4">
        <w:rPr>
          <w:color w:val="auto"/>
          <w:lang w:eastAsia="pl-PL"/>
        </w:rPr>
        <w:t xml:space="preserve"> organizatora imprez niemasowych </w:t>
      </w:r>
      <w:r w:rsidR="008A60CE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włączenie do zakresu ubezpieczenia z tytułu organizacji imprez niemasowych, niezależnie od miejsca imprezy (przestrzeń otwarta lub zamknięta), rodzaju imprezy, liczby uczestników itp., nie podlegającej obowiązkowemu ubezpieczeniu OC imprez masowych. </w:t>
      </w:r>
    </w:p>
    <w:p w:rsidR="000364C8" w:rsidRPr="00CF670D" w:rsidRDefault="00CF670D" w:rsidP="00CF670D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/>
          <w:color w:val="auto"/>
          <w:lang w:eastAsia="pl-PL"/>
        </w:rPr>
      </w:pPr>
      <w:r w:rsidRPr="00CF670D">
        <w:rPr>
          <w:b/>
          <w:color w:val="auto"/>
          <w:lang w:eastAsia="pl-PL"/>
        </w:rPr>
        <w:t>Suma gwarancyjna</w:t>
      </w:r>
    </w:p>
    <w:p w:rsidR="00CF670D" w:rsidRDefault="00CF670D" w:rsidP="00CF670D">
      <w:pPr>
        <w:pStyle w:val="Bezodstpw"/>
        <w:spacing w:line="360" w:lineRule="auto"/>
        <w:ind w:left="426"/>
        <w:jc w:val="both"/>
      </w:pPr>
      <w:r w:rsidRPr="00CA40E4">
        <w:t xml:space="preserve">Suma gwarancyjna w odniesieniu do wszystkich rodzajów działalności na jedno </w:t>
      </w:r>
      <w:r w:rsidRPr="00CA40E4">
        <w:br/>
        <w:t>i wszystkie zdarzenia w okresie ubezpieczenia wynosi 300</w:t>
      </w:r>
      <w:r w:rsidR="00C313F1">
        <w:t xml:space="preserve"> 000,00 zł </w:t>
      </w:r>
      <w:r w:rsidRPr="00CA40E4">
        <w:t>(do wyczerpania).</w:t>
      </w:r>
    </w:p>
    <w:p w:rsidR="00CF670D" w:rsidRPr="00CA40E4" w:rsidRDefault="00CF670D" w:rsidP="00CF670D">
      <w:pPr>
        <w:pStyle w:val="Tekstpodstawowy21"/>
        <w:numPr>
          <w:ilvl w:val="0"/>
          <w:numId w:val="32"/>
        </w:numPr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Likwidacja szkód</w:t>
      </w:r>
    </w:p>
    <w:p w:rsidR="00CF670D" w:rsidRPr="00CA40E4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>Zgłoszenie szkody z tytułu ubezpieczeń może nastąpić w dowolnym oddziale Wykonawcy na terenie kraju.</w:t>
      </w:r>
    </w:p>
    <w:p w:rsidR="00CF670D" w:rsidRPr="00CA40E4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>Za datę zgłoszenia przyjmuje się datę przyjęcia informacji o szkodzie, tj. datę wpływu faxu lub e maila do odpowiedniej jednostki Wykonawcy lub telefonicznego zgłoszenia na infolinię. Wykonawca zobowiązuje się niezwłocznie p</w:t>
      </w:r>
      <w:r>
        <w:t xml:space="preserve">otwierdzić otrzymanie faxu lub </w:t>
      </w:r>
      <w:r w:rsidRPr="00CA40E4">
        <w:t>e-maila, faksem lub e-mailem.</w:t>
      </w:r>
    </w:p>
    <w:p w:rsidR="00CF670D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 xml:space="preserve">Odszkodowanie z tytułu ubezpieczenia odpowiedzialności cywilnej w związku </w:t>
      </w:r>
      <w:r w:rsidRPr="00CA40E4">
        <w:br/>
        <w:t>z prowadzoną działalnością i posiadanym mieniem wypłacane będzie osobie uprawnionej do jego otrzymania.</w:t>
      </w:r>
    </w:p>
    <w:p w:rsidR="00C313F1" w:rsidRDefault="00C313F1" w:rsidP="00C313F1">
      <w:pPr>
        <w:pStyle w:val="Akapitzlist"/>
        <w:numPr>
          <w:ilvl w:val="0"/>
          <w:numId w:val="35"/>
        </w:numPr>
        <w:suppressAutoHyphens w:val="0"/>
        <w:spacing w:line="360" w:lineRule="auto"/>
        <w:ind w:left="425" w:hanging="426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Termin realizacji zamówienia</w:t>
      </w:r>
    </w:p>
    <w:p w:rsidR="00C313F1" w:rsidRPr="00C313F1" w:rsidRDefault="009C0903" w:rsidP="00C313F1">
      <w:pPr>
        <w:spacing w:line="360" w:lineRule="auto"/>
        <w:ind w:left="425"/>
        <w:rPr>
          <w:b/>
        </w:rPr>
      </w:pPr>
      <w:r>
        <w:t xml:space="preserve">Polisa ubezpieczeniowa </w:t>
      </w:r>
      <w:r w:rsidR="00C313F1">
        <w:t xml:space="preserve">na czas określony </w:t>
      </w:r>
      <w:r w:rsidR="00C313F1">
        <w:rPr>
          <w:b/>
        </w:rPr>
        <w:t xml:space="preserve">od dnia 01 lipca </w:t>
      </w:r>
      <w:r w:rsidR="00C313F1" w:rsidRPr="00C313F1">
        <w:rPr>
          <w:b/>
        </w:rPr>
        <w:t>20</w:t>
      </w:r>
      <w:r w:rsidR="003D7FF3">
        <w:rPr>
          <w:b/>
        </w:rPr>
        <w:t>2</w:t>
      </w:r>
      <w:r w:rsidR="00A25830">
        <w:rPr>
          <w:b/>
        </w:rPr>
        <w:t>4</w:t>
      </w:r>
      <w:r w:rsidR="00C313F1">
        <w:rPr>
          <w:b/>
        </w:rPr>
        <w:t xml:space="preserve"> r. do dnia </w:t>
      </w:r>
      <w:r>
        <w:rPr>
          <w:b/>
        </w:rPr>
        <w:t>30 czerwca</w:t>
      </w:r>
      <w:r w:rsidR="00C313F1">
        <w:rPr>
          <w:b/>
        </w:rPr>
        <w:t xml:space="preserve"> 202</w:t>
      </w:r>
      <w:r w:rsidR="00A25830">
        <w:rPr>
          <w:b/>
        </w:rPr>
        <w:t>5</w:t>
      </w:r>
      <w:r w:rsidR="00C313F1">
        <w:rPr>
          <w:b/>
        </w:rPr>
        <w:t xml:space="preserve"> r.</w:t>
      </w:r>
    </w:p>
    <w:p w:rsidR="00C313F1" w:rsidRDefault="00C313F1" w:rsidP="00C313F1">
      <w:pPr>
        <w:pStyle w:val="Akapitzlist"/>
        <w:suppressAutoHyphens w:val="0"/>
        <w:spacing w:line="360" w:lineRule="auto"/>
        <w:ind w:left="426"/>
        <w:jc w:val="both"/>
        <w:rPr>
          <w:b/>
          <w:color w:val="auto"/>
          <w:lang w:eastAsia="pl-PL"/>
        </w:rPr>
      </w:pPr>
    </w:p>
    <w:p w:rsidR="00F5244C" w:rsidRPr="00CF670D" w:rsidRDefault="00C313F1" w:rsidP="00CF670D">
      <w:pPr>
        <w:pStyle w:val="Akapitzlist"/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b/>
          <w:color w:val="auto"/>
          <w:lang w:eastAsia="pl-PL"/>
        </w:rPr>
      </w:pPr>
      <w:bookmarkStart w:id="0" w:name="_Hlk167264911"/>
      <w:r>
        <w:rPr>
          <w:b/>
          <w:color w:val="auto"/>
          <w:lang w:eastAsia="pl-PL"/>
        </w:rPr>
        <w:t>D</w:t>
      </w:r>
      <w:r w:rsidR="00CF670D">
        <w:rPr>
          <w:b/>
          <w:color w:val="auto"/>
          <w:lang w:eastAsia="pl-PL"/>
        </w:rPr>
        <w:t>odatkowe informacje</w:t>
      </w:r>
    </w:p>
    <w:bookmarkEnd w:id="0"/>
    <w:p w:rsidR="00F5244C" w:rsidRPr="00CA40E4" w:rsidRDefault="00174AAE" w:rsidP="00CF670D">
      <w:pPr>
        <w:pStyle w:val="Bezodstpw"/>
        <w:numPr>
          <w:ilvl w:val="0"/>
          <w:numId w:val="36"/>
        </w:numPr>
        <w:suppressAutoHyphens w:val="0"/>
        <w:spacing w:line="360" w:lineRule="auto"/>
        <w:ind w:left="851" w:hanging="425"/>
        <w:jc w:val="both"/>
      </w:pPr>
      <w:r w:rsidRPr="00CF670D">
        <w:t xml:space="preserve">Klauzule </w:t>
      </w:r>
    </w:p>
    <w:p w:rsidR="00F5244C" w:rsidRPr="00CF670D" w:rsidRDefault="00174AAE" w:rsidP="00CF670D">
      <w:pPr>
        <w:pStyle w:val="Bezodstpw"/>
        <w:numPr>
          <w:ilvl w:val="0"/>
          <w:numId w:val="3"/>
        </w:numPr>
        <w:suppressAutoHyphens w:val="0"/>
        <w:spacing w:line="360" w:lineRule="auto"/>
        <w:ind w:left="1276" w:hanging="425"/>
        <w:jc w:val="both"/>
        <w:rPr>
          <w:u w:val="single"/>
        </w:rPr>
      </w:pPr>
      <w:r w:rsidRPr="00CA40E4">
        <w:rPr>
          <w:u w:val="single"/>
        </w:rPr>
        <w:t>klauzula pro rata temporis</w:t>
      </w:r>
    </w:p>
    <w:p w:rsidR="00F5244C" w:rsidRDefault="00174AAE" w:rsidP="00CF670D">
      <w:pPr>
        <w:pStyle w:val="Akapitzlist"/>
        <w:spacing w:line="360" w:lineRule="auto"/>
        <w:ind w:left="1276"/>
      </w:pPr>
      <w:r w:rsidRPr="00CA40E4">
        <w:lastRenderedPageBreak/>
        <w:t xml:space="preserve">Wszelkie rozliczenia wynikające z niniejszej umowy, a w szczególności związane </w:t>
      </w:r>
      <w:r w:rsidR="00CF670D">
        <w:t xml:space="preserve">ze </w:t>
      </w:r>
      <w:r w:rsidRPr="00CA40E4">
        <w:t xml:space="preserve">zwrotem składek dokonywane będą w systemie pro rata za każdy </w:t>
      </w:r>
      <w:r w:rsidR="008A60CE">
        <w:t>dzień ochrony ubezpieczeniowej;</w:t>
      </w:r>
    </w:p>
    <w:p w:rsidR="008A60CE" w:rsidRPr="008A60CE" w:rsidRDefault="008A60CE" w:rsidP="008A60CE">
      <w:pPr>
        <w:pStyle w:val="Akapitzlist"/>
        <w:numPr>
          <w:ilvl w:val="0"/>
          <w:numId w:val="36"/>
        </w:numPr>
        <w:spacing w:line="360" w:lineRule="auto"/>
        <w:ind w:left="851" w:hanging="425"/>
      </w:pPr>
      <w:r w:rsidRPr="008A60CE">
        <w:t>Zamawiający nie dopuszcza wprowadzenia do ubezpieczenia:</w:t>
      </w:r>
    </w:p>
    <w:p w:rsidR="008A60CE" w:rsidRPr="008A60CE" w:rsidRDefault="008A60CE" w:rsidP="008A60CE">
      <w:pPr>
        <w:pStyle w:val="Bezodstpw"/>
        <w:numPr>
          <w:ilvl w:val="0"/>
          <w:numId w:val="37"/>
        </w:numPr>
        <w:suppressAutoHyphens w:val="0"/>
        <w:spacing w:line="360" w:lineRule="auto"/>
        <w:ind w:left="1276" w:hanging="425"/>
        <w:jc w:val="both"/>
      </w:pPr>
      <w:r w:rsidRPr="008A60CE">
        <w:t xml:space="preserve">franszyzy redukcyjnej, </w:t>
      </w:r>
    </w:p>
    <w:p w:rsidR="008A60CE" w:rsidRPr="00CA40E4" w:rsidRDefault="009C0903" w:rsidP="009C0903">
      <w:pPr>
        <w:pStyle w:val="Bezodstpw"/>
        <w:numPr>
          <w:ilvl w:val="0"/>
          <w:numId w:val="37"/>
        </w:numPr>
        <w:suppressAutoHyphens w:val="0"/>
        <w:spacing w:line="360" w:lineRule="auto"/>
        <w:ind w:left="1276" w:hanging="425"/>
        <w:jc w:val="both"/>
      </w:pPr>
      <w:r>
        <w:t>franszyzy integralnej,</w:t>
      </w:r>
    </w:p>
    <w:p w:rsidR="009C0903" w:rsidRDefault="009C0903" w:rsidP="009C0903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</w:pPr>
      <w:r>
        <w:t>Zamawiający żąda aby Wykonawca:</w:t>
      </w:r>
    </w:p>
    <w:p w:rsidR="009C0903" w:rsidRDefault="009C0903" w:rsidP="009C0903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</w:pPr>
      <w:r>
        <w:t>prowadził zarejestrowaną działalność gospodarczą obejmującą przedmiot niniejszego zamówienia,</w:t>
      </w:r>
    </w:p>
    <w:p w:rsidR="009C0903" w:rsidRDefault="009C0903" w:rsidP="009C0903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</w:pPr>
      <w:r>
        <w:t xml:space="preserve">posiadał zezwolenie Ministra Finansów na prowadzenie działalności ubezpieczeniowej na terenie Polski we wszystkich grupach </w:t>
      </w:r>
      <w:proofErr w:type="spellStart"/>
      <w:r>
        <w:t>ryzyk</w:t>
      </w:r>
      <w:proofErr w:type="spellEnd"/>
      <w:r>
        <w:t>, których dotyczy przedmiot zamówienia lub inny dokument potwierdzający prawo prowadzenia działalności ubezpieczeniowej.</w:t>
      </w:r>
    </w:p>
    <w:p w:rsidR="00F5244C" w:rsidRPr="00CA40E4" w:rsidRDefault="00F5244C" w:rsidP="009C0903">
      <w:pPr>
        <w:pStyle w:val="Bezodstpw"/>
        <w:spacing w:line="360" w:lineRule="auto"/>
        <w:ind w:left="851"/>
        <w:jc w:val="both"/>
      </w:pPr>
    </w:p>
    <w:p w:rsidR="00A25830" w:rsidRDefault="00A25830" w:rsidP="00A51357">
      <w:pPr>
        <w:pStyle w:val="Akapitzlist"/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Ubezpieczeniowa działalność wraz z PKD</w:t>
      </w:r>
    </w:p>
    <w:p w:rsidR="00A51357" w:rsidRDefault="00A51357" w:rsidP="00A5135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color w:val="auto"/>
          <w:lang w:eastAsia="pl-PL"/>
        </w:rPr>
      </w:pPr>
      <w:r w:rsidRPr="00A51357">
        <w:rPr>
          <w:color w:val="auto"/>
          <w:lang w:eastAsia="pl-PL"/>
        </w:rPr>
        <w:t>Pozostałe pozaszkolne formy edukacji, gdzie indziej niesklasyfikowane (85.59.B)</w:t>
      </w:r>
    </w:p>
    <w:p w:rsidR="00A51357" w:rsidRDefault="00A51357" w:rsidP="00A5135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Pozostała usługowa działalność gastronomiczna (56.29.Z)</w:t>
      </w:r>
    </w:p>
    <w:p w:rsidR="00A51357" w:rsidRDefault="00A51357" w:rsidP="00A51357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Pozostała działalność rozrywkowa i rekreacyjna (93.29.Z)</w:t>
      </w:r>
    </w:p>
    <w:p w:rsidR="00A51357" w:rsidRDefault="00A51357" w:rsidP="00A51357">
      <w:pPr>
        <w:pStyle w:val="Akapitzlist"/>
        <w:suppressAutoHyphens w:val="0"/>
        <w:spacing w:line="360" w:lineRule="auto"/>
        <w:jc w:val="both"/>
        <w:rPr>
          <w:color w:val="auto"/>
          <w:lang w:eastAsia="pl-PL"/>
        </w:rPr>
      </w:pPr>
    </w:p>
    <w:p w:rsidR="00A51357" w:rsidRPr="00A51357" w:rsidRDefault="00A51357" w:rsidP="00A51357">
      <w:pPr>
        <w:pStyle w:val="Akapitzlist"/>
        <w:numPr>
          <w:ilvl w:val="0"/>
          <w:numId w:val="43"/>
        </w:numPr>
        <w:suppressAutoHyphens w:val="0"/>
        <w:spacing w:line="360" w:lineRule="auto"/>
        <w:ind w:left="426" w:hanging="426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Dotychczas zawarte ubezpieczenie </w:t>
      </w:r>
      <w:r w:rsidR="00F02557">
        <w:rPr>
          <w:color w:val="auto"/>
          <w:lang w:eastAsia="pl-PL"/>
        </w:rPr>
        <w:t>OC w PZU</w:t>
      </w:r>
      <w:bookmarkStart w:id="1" w:name="_GoBack"/>
      <w:bookmarkEnd w:id="1"/>
    </w:p>
    <w:p w:rsidR="00A51357" w:rsidRPr="00A51357" w:rsidRDefault="00A51357" w:rsidP="00A51357">
      <w:pPr>
        <w:pStyle w:val="Akapitzlist"/>
        <w:suppressAutoHyphens w:val="0"/>
        <w:spacing w:line="360" w:lineRule="auto"/>
        <w:jc w:val="both"/>
        <w:rPr>
          <w:color w:val="auto"/>
          <w:lang w:eastAsia="pl-PL"/>
        </w:rPr>
      </w:pPr>
    </w:p>
    <w:p w:rsidR="00F5244C" w:rsidRPr="00CA40E4" w:rsidRDefault="00F5244C">
      <w:pPr>
        <w:pStyle w:val="Bezodstpw"/>
        <w:ind w:left="360"/>
        <w:jc w:val="both"/>
      </w:pPr>
    </w:p>
    <w:p w:rsidR="00F5244C" w:rsidRPr="00CA40E4" w:rsidRDefault="00F5244C" w:rsidP="00B610CC">
      <w:pPr>
        <w:pStyle w:val="Akapitzlist"/>
        <w:ind w:right="567"/>
        <w:jc w:val="both"/>
      </w:pPr>
    </w:p>
    <w:sectPr w:rsidR="00F5244C" w:rsidRPr="00CA40E4" w:rsidSect="00B610C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3EE"/>
    <w:multiLevelType w:val="multilevel"/>
    <w:tmpl w:val="670EFC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4460E"/>
    <w:multiLevelType w:val="hybridMultilevel"/>
    <w:tmpl w:val="C1A4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113"/>
    <w:multiLevelType w:val="multilevel"/>
    <w:tmpl w:val="FA2403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5F17"/>
    <w:multiLevelType w:val="hybridMultilevel"/>
    <w:tmpl w:val="76AE9170"/>
    <w:lvl w:ilvl="0" w:tplc="EF08A6A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45A6"/>
    <w:multiLevelType w:val="multilevel"/>
    <w:tmpl w:val="58CCE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A3F"/>
    <w:multiLevelType w:val="multilevel"/>
    <w:tmpl w:val="0908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7859"/>
    <w:multiLevelType w:val="multilevel"/>
    <w:tmpl w:val="BEA685D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3225"/>
    <w:multiLevelType w:val="multilevel"/>
    <w:tmpl w:val="5A003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6C76"/>
    <w:multiLevelType w:val="hybridMultilevel"/>
    <w:tmpl w:val="96D4F214"/>
    <w:lvl w:ilvl="0" w:tplc="CCA8F6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6CA8"/>
    <w:multiLevelType w:val="hybridMultilevel"/>
    <w:tmpl w:val="54F21D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E22092"/>
    <w:multiLevelType w:val="multilevel"/>
    <w:tmpl w:val="5C8E2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F7732B"/>
    <w:multiLevelType w:val="multilevel"/>
    <w:tmpl w:val="FA54F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B0582A"/>
    <w:multiLevelType w:val="hybridMultilevel"/>
    <w:tmpl w:val="0E401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D1157"/>
    <w:multiLevelType w:val="hybridMultilevel"/>
    <w:tmpl w:val="DCBA61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DA70C4"/>
    <w:multiLevelType w:val="hybridMultilevel"/>
    <w:tmpl w:val="17020B52"/>
    <w:lvl w:ilvl="0" w:tplc="297E0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008F"/>
    <w:multiLevelType w:val="multilevel"/>
    <w:tmpl w:val="2F5E8E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270B6D"/>
    <w:multiLevelType w:val="hybridMultilevel"/>
    <w:tmpl w:val="F47AB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25D6"/>
    <w:multiLevelType w:val="hybridMultilevel"/>
    <w:tmpl w:val="74D8F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476339"/>
    <w:multiLevelType w:val="multilevel"/>
    <w:tmpl w:val="A36E4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5C19"/>
    <w:multiLevelType w:val="multilevel"/>
    <w:tmpl w:val="0A20E50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60CA0"/>
    <w:multiLevelType w:val="multilevel"/>
    <w:tmpl w:val="18E8B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2469D8"/>
    <w:multiLevelType w:val="multilevel"/>
    <w:tmpl w:val="A42E18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4300CD"/>
    <w:multiLevelType w:val="multilevel"/>
    <w:tmpl w:val="DCF8D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B8478E"/>
    <w:multiLevelType w:val="hybridMultilevel"/>
    <w:tmpl w:val="A1D01928"/>
    <w:lvl w:ilvl="0" w:tplc="88106A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474C"/>
    <w:multiLevelType w:val="multilevel"/>
    <w:tmpl w:val="DF82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21B2"/>
    <w:multiLevelType w:val="multilevel"/>
    <w:tmpl w:val="BCC67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1C8B"/>
    <w:multiLevelType w:val="multilevel"/>
    <w:tmpl w:val="57A82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4A77DE"/>
    <w:multiLevelType w:val="hybridMultilevel"/>
    <w:tmpl w:val="C038A1CE"/>
    <w:lvl w:ilvl="0" w:tplc="CCA8F6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0C5A"/>
    <w:multiLevelType w:val="multilevel"/>
    <w:tmpl w:val="1292B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C40E6"/>
    <w:multiLevelType w:val="multilevel"/>
    <w:tmpl w:val="F96A24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76A6"/>
    <w:multiLevelType w:val="multilevel"/>
    <w:tmpl w:val="138E7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FD0E52"/>
    <w:multiLevelType w:val="hybridMultilevel"/>
    <w:tmpl w:val="AD949044"/>
    <w:lvl w:ilvl="0" w:tplc="50E275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22F15"/>
    <w:multiLevelType w:val="multilevel"/>
    <w:tmpl w:val="1FDA5AE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D08E6"/>
    <w:multiLevelType w:val="multilevel"/>
    <w:tmpl w:val="186C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B10E1"/>
    <w:multiLevelType w:val="multilevel"/>
    <w:tmpl w:val="8508F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C6B56"/>
    <w:multiLevelType w:val="multilevel"/>
    <w:tmpl w:val="29C820A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A517175"/>
    <w:multiLevelType w:val="hybridMultilevel"/>
    <w:tmpl w:val="AD949044"/>
    <w:lvl w:ilvl="0" w:tplc="50E275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67FB"/>
    <w:multiLevelType w:val="multilevel"/>
    <w:tmpl w:val="B39880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479DB"/>
    <w:multiLevelType w:val="multilevel"/>
    <w:tmpl w:val="40C89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9597A"/>
    <w:multiLevelType w:val="multilevel"/>
    <w:tmpl w:val="C15C5B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5463D46"/>
    <w:multiLevelType w:val="multilevel"/>
    <w:tmpl w:val="EB862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E082F"/>
    <w:multiLevelType w:val="hybridMultilevel"/>
    <w:tmpl w:val="559A7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C0BE1"/>
    <w:multiLevelType w:val="hybridMultilevel"/>
    <w:tmpl w:val="ACBAF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8348BC"/>
    <w:multiLevelType w:val="multilevel"/>
    <w:tmpl w:val="19261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19"/>
  </w:num>
  <w:num w:numId="4">
    <w:abstractNumId w:val="22"/>
  </w:num>
  <w:num w:numId="5">
    <w:abstractNumId w:val="11"/>
  </w:num>
  <w:num w:numId="6">
    <w:abstractNumId w:val="28"/>
  </w:num>
  <w:num w:numId="7">
    <w:abstractNumId w:val="2"/>
  </w:num>
  <w:num w:numId="8">
    <w:abstractNumId w:val="37"/>
  </w:num>
  <w:num w:numId="9">
    <w:abstractNumId w:val="4"/>
  </w:num>
  <w:num w:numId="10">
    <w:abstractNumId w:val="29"/>
  </w:num>
  <w:num w:numId="11">
    <w:abstractNumId w:val="38"/>
  </w:num>
  <w:num w:numId="12">
    <w:abstractNumId w:val="21"/>
  </w:num>
  <w:num w:numId="13">
    <w:abstractNumId w:val="7"/>
  </w:num>
  <w:num w:numId="14">
    <w:abstractNumId w:val="24"/>
  </w:num>
  <w:num w:numId="15">
    <w:abstractNumId w:val="33"/>
  </w:num>
  <w:num w:numId="16">
    <w:abstractNumId w:val="34"/>
  </w:num>
  <w:num w:numId="17">
    <w:abstractNumId w:val="15"/>
  </w:num>
  <w:num w:numId="18">
    <w:abstractNumId w:val="5"/>
  </w:num>
  <w:num w:numId="19">
    <w:abstractNumId w:val="26"/>
  </w:num>
  <w:num w:numId="20">
    <w:abstractNumId w:val="20"/>
  </w:num>
  <w:num w:numId="21">
    <w:abstractNumId w:val="25"/>
  </w:num>
  <w:num w:numId="22">
    <w:abstractNumId w:val="0"/>
  </w:num>
  <w:num w:numId="23">
    <w:abstractNumId w:val="10"/>
  </w:num>
  <w:num w:numId="24">
    <w:abstractNumId w:val="39"/>
  </w:num>
  <w:num w:numId="25">
    <w:abstractNumId w:val="1"/>
  </w:num>
  <w:num w:numId="26">
    <w:abstractNumId w:val="30"/>
  </w:num>
  <w:num w:numId="27">
    <w:abstractNumId w:val="6"/>
  </w:num>
  <w:num w:numId="28">
    <w:abstractNumId w:val="14"/>
  </w:num>
  <w:num w:numId="29">
    <w:abstractNumId w:val="32"/>
  </w:num>
  <w:num w:numId="30">
    <w:abstractNumId w:val="12"/>
  </w:num>
  <w:num w:numId="31">
    <w:abstractNumId w:val="27"/>
  </w:num>
  <w:num w:numId="32">
    <w:abstractNumId w:val="8"/>
  </w:num>
  <w:num w:numId="33">
    <w:abstractNumId w:val="43"/>
  </w:num>
  <w:num w:numId="34">
    <w:abstractNumId w:val="42"/>
  </w:num>
  <w:num w:numId="35">
    <w:abstractNumId w:val="36"/>
  </w:num>
  <w:num w:numId="36">
    <w:abstractNumId w:val="16"/>
  </w:num>
  <w:num w:numId="37">
    <w:abstractNumId w:val="4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1"/>
  </w:num>
  <w:num w:numId="41">
    <w:abstractNumId w:val="23"/>
  </w:num>
  <w:num w:numId="42">
    <w:abstractNumId w:val="9"/>
  </w:num>
  <w:num w:numId="43">
    <w:abstractNumId w:val="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C"/>
    <w:rsid w:val="0000519B"/>
    <w:rsid w:val="000364C8"/>
    <w:rsid w:val="00174AAE"/>
    <w:rsid w:val="001D685D"/>
    <w:rsid w:val="0037705D"/>
    <w:rsid w:val="00397194"/>
    <w:rsid w:val="003D7FF3"/>
    <w:rsid w:val="00425265"/>
    <w:rsid w:val="00481495"/>
    <w:rsid w:val="004F0E5A"/>
    <w:rsid w:val="00567314"/>
    <w:rsid w:val="0060456F"/>
    <w:rsid w:val="00655361"/>
    <w:rsid w:val="006A09E1"/>
    <w:rsid w:val="007331F7"/>
    <w:rsid w:val="007D3A36"/>
    <w:rsid w:val="008418BC"/>
    <w:rsid w:val="008529A7"/>
    <w:rsid w:val="008A60CE"/>
    <w:rsid w:val="00932E36"/>
    <w:rsid w:val="009C0903"/>
    <w:rsid w:val="00A25830"/>
    <w:rsid w:val="00A51357"/>
    <w:rsid w:val="00A77CD6"/>
    <w:rsid w:val="00B14D80"/>
    <w:rsid w:val="00B610CC"/>
    <w:rsid w:val="00B6635C"/>
    <w:rsid w:val="00C313F1"/>
    <w:rsid w:val="00C60BC5"/>
    <w:rsid w:val="00CA40E4"/>
    <w:rsid w:val="00CF670D"/>
    <w:rsid w:val="00D54BA2"/>
    <w:rsid w:val="00D95676"/>
    <w:rsid w:val="00F02557"/>
    <w:rsid w:val="00F5244C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643"/>
  <w15:docId w15:val="{4C7AB26C-7ECC-4285-97F6-28E1312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A2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link w:val="Nagwek1Znak"/>
    <w:uiPriority w:val="9"/>
    <w:qFormat/>
    <w:rsid w:val="00DD43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43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43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D43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D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D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D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D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D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43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D43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D43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D43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D43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D438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DD43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D4389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389"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sid w:val="00DD43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D4389"/>
  </w:style>
  <w:style w:type="character" w:customStyle="1" w:styleId="CytatZnak">
    <w:name w:val="Cytat Znak"/>
    <w:basedOn w:val="Domylnaczcionkaakapitu"/>
    <w:link w:val="Cytat"/>
    <w:uiPriority w:val="29"/>
    <w:qFormat/>
    <w:rsid w:val="00DD4389"/>
    <w:rPr>
      <w:rFonts w:eastAsiaTheme="majorEastAsia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D43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389"/>
    <w:rPr>
      <w:i/>
      <w:iCs/>
    </w:rPr>
  </w:style>
  <w:style w:type="character" w:styleId="Wyrnienieintensywne">
    <w:name w:val="Intense Emphasis"/>
    <w:uiPriority w:val="21"/>
    <w:qFormat/>
    <w:rsid w:val="00DD43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D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D4389"/>
    <w:rPr>
      <w:caps/>
      <w:color w:val="622423" w:themeColor="accent2" w:themeShade="7F"/>
      <w:spacing w:val="5"/>
      <w:u w:val="none" w:color="62242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6B0F"/>
    <w:rPr>
      <w:rFonts w:ascii="Segoe UI" w:eastAsia="Times New Roman" w:hAnsi="Segoe UI" w:cs="Segoe UI"/>
      <w:sz w:val="18"/>
      <w:szCs w:val="18"/>
      <w:lang w:val="pl-PL" w:eastAsia="ar-SA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DD4389"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D438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rsid w:val="00DD4389"/>
    <w:pPr>
      <w:spacing w:after="560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DD4389"/>
  </w:style>
  <w:style w:type="paragraph" w:styleId="Akapitzlist">
    <w:name w:val="List Paragraph"/>
    <w:basedOn w:val="Normalny"/>
    <w:uiPriority w:val="34"/>
    <w:qFormat/>
    <w:rsid w:val="00DD4389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DD4389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DD43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DD4389"/>
  </w:style>
  <w:style w:type="paragraph" w:customStyle="1" w:styleId="Tekstpodstawowy21">
    <w:name w:val="Tekst podstawowy 21"/>
    <w:basedOn w:val="Normalny"/>
    <w:qFormat/>
    <w:rsid w:val="00FD6A23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951065</cp:lastModifiedBy>
  <cp:revision>10</cp:revision>
  <cp:lastPrinted>2023-05-16T07:31:00Z</cp:lastPrinted>
  <dcterms:created xsi:type="dcterms:W3CDTF">2023-05-16T07:31:00Z</dcterms:created>
  <dcterms:modified xsi:type="dcterms:W3CDTF">2024-06-04T09:19:00Z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