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836"/>
        <w:gridCol w:w="1145"/>
        <w:gridCol w:w="1630"/>
        <w:gridCol w:w="1617"/>
        <w:gridCol w:w="7"/>
      </w:tblGrid>
      <w:tr w:rsidR="00D13AC6" w:rsidRPr="00D13AC6" w14:paraId="395AFFF4" w14:textId="77777777" w:rsidTr="004C443C">
        <w:trPr>
          <w:gridAfter w:val="1"/>
          <w:wAfter w:w="7" w:type="dxa"/>
          <w:trHeight w:val="119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706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3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AC97" w14:textId="5AC13BF3" w:rsidR="00D13AC6" w:rsidRPr="00D13AC6" w:rsidRDefault="004C443C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noProof/>
                <w:color w:val="000000"/>
                <w:kern w:val="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1BD489A" wp14:editId="7C5A4F2D">
                  <wp:simplePos x="0" y="0"/>
                  <wp:positionH relativeFrom="column">
                    <wp:posOffset>-455930</wp:posOffset>
                  </wp:positionH>
                  <wp:positionV relativeFrom="paragraph">
                    <wp:posOffset>-8255</wp:posOffset>
                  </wp:positionV>
                  <wp:extent cx="8963025" cy="781050"/>
                  <wp:effectExtent l="0" t="0" r="9525" b="0"/>
                  <wp:wrapNone/>
                  <wp:docPr id="1553148956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525467-2B5A-212F-32A8-F58EA1C43B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D8525467-2B5A-212F-32A8-F58EA1C43B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30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EECDD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4C443C" w:rsidRPr="00D13AC6" w14:paraId="59A43B82" w14:textId="77777777" w:rsidTr="004C443C">
        <w:trPr>
          <w:trHeight w:val="5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07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E03B4" w14:textId="0B8C28A1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0DA5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5468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F538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13AC6" w:rsidRPr="00D13AC6" w14:paraId="683B59DD" w14:textId="77777777" w:rsidTr="004C443C">
        <w:trPr>
          <w:gridAfter w:val="1"/>
          <w:wAfter w:w="7" w:type="dxa"/>
          <w:trHeight w:val="570"/>
        </w:trPr>
        <w:tc>
          <w:tcPr>
            <w:tcW w:w="13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1D34" w14:textId="3DD687C7" w:rsidR="00D13AC6" w:rsidRPr="00FE4F48" w:rsidRDefault="00FE4F48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E4F48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FORMULARZ RZECZOWO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Pr="00FE4F48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- FINANSOWY</w:t>
            </w:r>
          </w:p>
          <w:p w14:paraId="0C8BBF6C" w14:textId="793E60F9" w:rsidR="00FE4F48" w:rsidRPr="00D13AC6" w:rsidRDefault="00FE4F48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32"/>
                <w:szCs w:val="32"/>
                <w:lang w:eastAsia="pl-PL"/>
              </w:rPr>
            </w:pPr>
            <w:r w:rsidRPr="00FE4F48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CYBERBEZPIECZNA ROKIETNICA. </w:t>
            </w:r>
            <w:r w:rsidR="005F50D5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br/>
            </w:r>
            <w:r w:rsidRPr="00FE4F48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ZADANIE 1) OBSZAR TECHNICZNY</w:t>
            </w:r>
          </w:p>
        </w:tc>
      </w:tr>
      <w:tr w:rsidR="00D13AC6" w:rsidRPr="00D13AC6" w14:paraId="169CA092" w14:textId="77777777" w:rsidTr="004C443C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3660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32"/>
                <w:szCs w:val="32"/>
                <w:lang w:eastAsia="pl-PL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CEB5C" w14:textId="6640347D" w:rsidR="00D13AC6" w:rsidRPr="00A654E2" w:rsidRDefault="00A654E2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                                                      </w:t>
            </w:r>
            <w:r w:rsidRPr="00A654E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</w:rPr>
              <w:t xml:space="preserve">(AKTUALNY)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E0EB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6C08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574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4C443C" w:rsidRPr="00D13AC6" w14:paraId="0F24CE50" w14:textId="77777777" w:rsidTr="004C443C">
        <w:trPr>
          <w:trHeight w:val="870"/>
        </w:trPr>
        <w:tc>
          <w:tcPr>
            <w:tcW w:w="520" w:type="dxa"/>
            <w:tcBorders>
              <w:top w:val="single" w:sz="4" w:space="0" w:color="auto"/>
            </w:tcBorders>
            <w:shd w:val="clear" w:color="000000" w:fill="D4E2F4"/>
            <w:noWrap/>
            <w:vAlign w:val="center"/>
            <w:hideMark/>
          </w:tcPr>
          <w:p w14:paraId="11C8C3A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8836" w:type="dxa"/>
            <w:tcBorders>
              <w:top w:val="single" w:sz="4" w:space="0" w:color="auto"/>
            </w:tcBorders>
            <w:shd w:val="clear" w:color="000000" w:fill="D4E2F4"/>
            <w:vAlign w:val="center"/>
            <w:hideMark/>
          </w:tcPr>
          <w:p w14:paraId="5E06A380" w14:textId="0CF84059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Specyfikacja kosztu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000000" w:fill="D4E2F4"/>
            <w:vAlign w:val="center"/>
            <w:hideMark/>
          </w:tcPr>
          <w:p w14:paraId="3FBB4A6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liczba jednostek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000000" w:fill="D4E2F4"/>
            <w:vAlign w:val="center"/>
            <w:hideMark/>
          </w:tcPr>
          <w:p w14:paraId="0F232B24" w14:textId="7E584809" w:rsidR="00D13AC6" w:rsidRPr="00D13AC6" w:rsidRDefault="00E87827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Cena jednostkowa netto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</w:tcBorders>
            <w:shd w:val="clear" w:color="000000" w:fill="D4E2F4"/>
            <w:vAlign w:val="center"/>
            <w:hideMark/>
          </w:tcPr>
          <w:p w14:paraId="533ABB00" w14:textId="59D68814" w:rsidR="00D13AC6" w:rsidRPr="00D13AC6" w:rsidRDefault="00E87827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Cena brutto</w:t>
            </w:r>
          </w:p>
        </w:tc>
      </w:tr>
      <w:tr w:rsidR="004C443C" w:rsidRPr="00D13AC6" w14:paraId="4E372084" w14:textId="77777777" w:rsidTr="004C443C">
        <w:trPr>
          <w:trHeight w:val="3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120B885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5F7A2AB3" w14:textId="5FA95A85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proofErr w:type="spellStart"/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Swich</w:t>
            </w:r>
            <w:proofErr w:type="spellEnd"/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 o następujących parametrach minimalnych: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6CC4FE9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630" w:type="dxa"/>
            <w:shd w:val="clear" w:color="000000" w:fill="E7F6FF"/>
            <w:noWrap/>
            <w:vAlign w:val="bottom"/>
            <w:hideMark/>
          </w:tcPr>
          <w:p w14:paraId="5C683129" w14:textId="30B9050C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bottom"/>
            <w:hideMark/>
          </w:tcPr>
          <w:p w14:paraId="2432DC38" w14:textId="4503682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A7282E8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3E74F6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BDF02E1" w14:textId="7E92A49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przełącznik L2+ (warstwa 2 uzupełniona o wsparcie SVI z IP/maską, wsparcie serwera DHCP z Bind IP to MAC, wsparcie routingu VLAN (trasy statyczne, jedna trasa domyślna)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57E5C5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BAA217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8D2CF9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2FBBDA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615012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EDB282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16 portów 2.5 Gigabit Ethernet RJ-45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9FAC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09CC53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9468F7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1BB250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EA854B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AC6B32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4 porty </w:t>
            </w: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10Gigabit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Ethernet SFP+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D445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17DE0C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52544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DEE9048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388679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2FA005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Konfiguracja VLAN oparta na portach,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tagach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802.1Q, adresach MAC oraz protokołach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EBDB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2452C6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2C4AB5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7B8C9C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4220C4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93DA56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Voice VLAN oraz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Surveillance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VLAN w celu optymalizacji jakości połączeń oraz wideo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FF67A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D38B94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428AE7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E99D65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7213E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15BBD7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Bezpieczna sieć lokalna dzięki zabezpieczeniom portu 802.1x, ACL, IP Source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Guard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oraz DHCP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Snooping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81162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E3C141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1DC61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197679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EC1CA8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B83C35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Obsługa IPv6 z MLD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Snooping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, IPv6 ACL oraz IPv6 DNS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Resolver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E889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BFDA6C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CF4ACD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C94842A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86D90E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E5BC1B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Uwierzytelnianie przez lokalną bazę danych, serwery RADIUS oraz TACACS+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124136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00922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97F1D5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BBC0F4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89F33F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E9A97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Zgodny z IEEE 802.3az (Energy-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Efficient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Ethernet)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BB1F4F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5108DA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71780F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E4719B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8A3C8F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E60F32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Wsparcie SNMP v1/v2c/v3, RMON oraz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Syslog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do monitorowania sieci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5D406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C7CF8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148BB5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CDFD00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8B38FE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BA355F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Komplet modułów SFP+ 10Gigabit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wielomod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42603E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16FA11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28394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EADC59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13BD23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EFC5AA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Pełna kompatybilność z posiadanym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switchem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VigorSwitch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FX2120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22D93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97BAF4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8FF214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420E3AD" w14:textId="77777777" w:rsidTr="004C443C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B820F4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79177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minimalna gwarancja 24 miesiące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96E04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125F9B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8E92AE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48E3788D" w14:textId="77777777" w:rsidTr="004C443C">
        <w:trPr>
          <w:trHeight w:val="6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4CCB227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lastRenderedPageBreak/>
              <w:t>2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27F579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Roczne wsparcie producenta </w:t>
            </w:r>
            <w:proofErr w:type="spellStart"/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wirtualizatora</w:t>
            </w:r>
            <w:proofErr w:type="spellEnd"/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 dla dwóch serwerów 2- procesorowych połączonych macierzą o minimalnej funkcjonalności: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0F4790D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000000" w:fill="E7F6FF"/>
            <w:noWrap/>
            <w:vAlign w:val="center"/>
            <w:hideMark/>
          </w:tcPr>
          <w:p w14:paraId="478C7E44" w14:textId="2EBEEB32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  <w:hideMark/>
          </w:tcPr>
          <w:p w14:paraId="73D4E1B3" w14:textId="6D51A6E4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CAC201A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994A20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61984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Dostęp do aktualizacji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018E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2C743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174109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7D3F3B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25883B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8C146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Kompletny zestaw funkcji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9B7290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2ACAC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55C0F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E9DFF6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9388BD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95A90D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Wsparcie poprzez dedykowany portal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72CBF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906957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CA204C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0E431F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E5B628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72E01F5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Liczba zgłoszeń na rok minimum 10 razy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B1F83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30A944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7E756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2004F8D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D5D6F0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4783B8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Gwarantowany czas pierwszej reakcji na krytyczne zgłoszenie: maksymalnie 4 godziny w ciągu dnia roboczego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906C6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69C8F4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F307B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08B327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0F895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5B94378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Zdalne wsparcie poprzez SSH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2298F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A535B7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AE93B0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D1870AA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71D04A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6F4794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Aktywacja subskrypcji bez dostępu do Internetu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0BFCE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EF113A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18D198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2A691B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DA6D47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0431C79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minimum 2 procesory na serwer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C327D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DDCA5E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4D60C6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B80E362" w14:textId="77777777" w:rsidTr="004C443C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B30686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5B2212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Wymagany dowód licencji na wsparcie w formie papierowej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52240F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E23344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799348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7EC989FC" w14:textId="77777777" w:rsidTr="00E87827">
        <w:trPr>
          <w:trHeight w:val="9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6A9FCCE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0F8419B4" w14:textId="66C00601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Platforma pamięci masowej w pełni kompatybilna z posiadaną maszyną marki Dell (specyfikacja w załączniku) wraz z serwerem rezerwowym odpowiednim do budowy macie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rz</w:t>
            </w: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y z opisywaną platformą pamięci masowej oraz po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s</w:t>
            </w: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iadanym serwerem. Całość wyposażona we w pełni kompatybilne i fabrycznie nowe elementy o minimalnych param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e</w:t>
            </w: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trach: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59DABD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37B0FA4E" w14:textId="2F31CB5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1B7F5416" w14:textId="162F49E0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105883C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4BF790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0925AA9" w14:textId="6FB330F9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Platforma pamięci masowej o poniższych parametrach minimalnych: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ACAE7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0AD86A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C13D8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CB5FB7B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EC405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1128B7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Do  instalacji w standardowej szafie RACK 19”, macierz musi zajmować maksymalnie 2U i pozwalać na instalacje min. 24 dysków 2.5”.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F7CF08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725446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BBD6AC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D8A7B3F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C7D777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45C41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Dwa kontrolery RAID pracujące w układzie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active-active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posiadające łącznie minimum osiem portów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iSCSI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z przepustowością minimum 25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Gb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/s.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48E94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229D0F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9423F7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48ACCAC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4A6FBC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514C2C1" w14:textId="0D397DB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Komunikacja kontrolerów z podłączanymi półkami dyskowymi musi być realizowana przez po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łą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czenia SAS o przepustowości minimum 12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Gb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/s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8801CF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5E3E1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256BC8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4B7539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BDACF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45A639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Możliwość konfiguracji RAID 1, 5, 6, 10.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AB776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F10018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416AB5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9D1FCE1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80D8EE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B3135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Minimum 16GB na kontroler, pamięć cache zapisu mirrorowana między kontrolerami, podtrzymywana bateryjnie przez min. 72h w razie awarii.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E11E9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C5E9C8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4A7F0E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8C509D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7DEFC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07F61F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Zainstalowane 10 dysków SAS 10k o pojemności min. 2.4TB oraz 4 dyski SSD SAS 24Gb/s o pojemności min. 3.84TB.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DEF8C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1FBE52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7920B3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FB1080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A17FE5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584F2A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- Zarządzanie macierzą poprzez minimum przeglądarkę internetową, GUI oparte o HTML5.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5E8A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DF8E34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035169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0A9591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58DFEF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37A037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- Wbudowany system powiadamiania drogą mailową o awarii.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E3FAF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71FD6E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B8461D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F48E25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BCC33E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3F00F9D" w14:textId="6B84484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- Macierz musi umożliwia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ć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utworzenie minimum 512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LUN’ów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oraz 1024 kopii migawkowych na całą macierz.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93F8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6B48A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738F62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710015F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A1FA36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ACBAB9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- Wbudowana funkcjonalność automatycznego (bez interwencji człowieka) rozkładania danych między dyskami poszczególnych typów (tzw. auto-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tiering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). Dane muszą być automatycznie przemieszczane miedzy rożnymi typami dysków.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8364A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5BA14F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EC42D7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A35D47A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1171A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440F85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- Możliwość wykorzystania dysków SSD jako cache macierzy, możliwość rozbudowy pamięci cache do min. 8TB poprzez dyski SSD.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840D0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3F597B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FC957B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B067F1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E2528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28EE08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 Rozwiązanie musi wspierać obsługę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samoszyfrujących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się dysków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E499A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8BFB8A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E1D099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7A26B1E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345570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628E66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Jeżeli którakolwiek z powyższych funkcjonalności wymaga dostarczenia dodatkowej licencji to należy ją zapewnić na całe oferowane rozwiązanie rozumiane w szczególności w zakresie przestrzeni dyskowej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1B2FF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00B116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3A8A3D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A654E2" w14:paraId="43ED5E8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CF4029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38151B06" w14:textId="4CD5AE9F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Wsparcie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dla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:</w:t>
            </w:r>
            <w:r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Windows Server 2019, Windows Server 2022, Red Hat Enterprise Linux (RHEL), SLES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BA94D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CEDBA6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714CC4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 </w:t>
            </w:r>
          </w:p>
        </w:tc>
      </w:tr>
      <w:tr w:rsidR="00D13AC6" w:rsidRPr="00D13AC6" w14:paraId="6EC83B8F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44FB39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0A86B5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Ciągła praca obu kontrolerów nawet w przypadku zaniku jednej z faz zasilania. Zasilacze, wentylatory, kontrolery RAID redundantne.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2A9BC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5A723D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815FE4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99A594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2A1DA6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64397C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 osiem kabli OM4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lc-lc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 długości min. 2 metry.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226D4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5C741A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82E0C4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7F5F06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16111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3DBDCC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- 8 modułów nadawczo-odbiorczych SFP28 25GbE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B0E54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158B6B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366C08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43BFDB0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114CA7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5A89E7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Pięć lat gwarancji realizowanej w miejscu instalacji sprzętu, z czasem reakcji do następnego dnia roboczego od przyjęcia zgłoszenia, możliwość zgłaszania awarii w trybie 365x7x24 poprzez ogólnopolską linię telefoniczną producenta.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D3DD2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AD8C5B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924CF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AF9338C" w14:textId="77777777" w:rsidTr="004C443C">
        <w:trPr>
          <w:trHeight w:val="54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C80271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B69B6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89C3C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D288D3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7BF8F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DB94CBB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53B7A6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5D43EC1" w14:textId="3C98FA14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Wymagane dołączenie do oferty oświadczenia Producenta potwierdzając,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że Serwis urządzeń będzie realizowany bezpośrednio przez Producenta i/lub we współpracy z Autoryzowanym Partnerem Serwisowym Producenta.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782A7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F01BB1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0746E5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9A9222E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8C16EF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FCAA2B8" w14:textId="7C861A94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mikrokodu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oraz sterowników  nawet w przypadku wyga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ś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nięcia g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warancji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macierzy.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D12E0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2DFC3C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D67295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4EA0A4B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8910E0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FD53D0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Ÿ  Wszystkie naprawy gwarancyjne powinny być możliwe na miejscu.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9203E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6AC01F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FD44D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1B04E7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3DBC84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19E8CA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Ÿ  Dostawca ponosi koszty napraw gwarancyjnych, włączając w to koszt części I transportu.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85D19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AC70E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17DC9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2E3E89BE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3BF150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49699A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Ÿ  W czasie obowiązywania gwarancji dostawca zobowiązany jest do udostępnienia Zamawiającemu nowych wersji BIOS,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firmware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i sterowników (na płytach CD lub stronach internetowych).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91EC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933202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964E1F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5669F07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03707F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A39E6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Zamawiający wymaga dokumentacji w języku polskim lub angielskim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47C1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DD9EFE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CD65A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92CEFE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939CC1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95721D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Macierz musi być wyprodukowany zgodnie z normą  ISO 9001:2015.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EB9F14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E69DED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E98060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419EA6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BFD0A5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582DB7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Serwer uzupełniający do macierzy o poniższych parametrach minimalnych: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2A239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3A557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9288F9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95FF99D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141402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F4661B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Obudowa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Rack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 wysokości max. 2U umożliwiającą instalację min. 8 dysków 3,5” z kompletem wysuwanych szyn umożliwiających montaż w szafie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rack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i wysuwanie serwera do celów serwisowych.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A1EC18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8F440F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D6D68F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29D3107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1F7AC8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5A20B6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9D861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A2E790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3E6A6E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7D2C55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36E95D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477FB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Dedykowany przez producenta procesora do pracy w serwerach dwuprocesorowych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EDC5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1CDDCA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195B87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9DC592D" w14:textId="77777777" w:rsidTr="004C443C">
        <w:trPr>
          <w:trHeight w:val="9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BE943B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ED89F2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Zainstalowane dwa procesory min. ośmio-rdzeniowy klasy x86 do pracy z zaoferowanym serwerem umożliwiające osiągnięcie wyniku min. 134</w:t>
            </w: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 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punktów w teście SPECrate2017_int_base dostępnym na stronie www.spec.org dla dwóch procesorów. Dla oferowanego serwera.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5E477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6E7EE0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AA3681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E7B1FC1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555D6A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917E30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Min. 256GB DDR4 RDIMM 3200MT/s, na płycie głównej powinno znajdować się minimum 16 slotów przeznaczonych do instalacji pamięci. Płyta główna powinna obsługiwać do 1TB pamięci RAM.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46DB67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FFE108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0CC08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A654E2" w14:paraId="52CD7A3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47E032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14CFFC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Advanced ECC, Memory Health Check, Memory Page Retire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FD1B0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603D6E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C584EA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 </w:t>
            </w:r>
          </w:p>
        </w:tc>
      </w:tr>
      <w:tr w:rsidR="00D13AC6" w:rsidRPr="00D13AC6" w14:paraId="0117B6C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FD64F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BC3DB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 minimum 3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sloty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PCIe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x16 generacji min. 3 oraz 1 slot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PCIe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x4 generacji min. 3.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D08E9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2FAF6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0D11B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2359DA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5CC485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8FEF23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Dwa interfejsy sieciowe 25Gb Ethernet ze złączami SFP28 nie zajmujące slotów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PCIe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79FF6F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ED161E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1A5017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14CA09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DECDED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32D9E2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Możliwość instalacji wymiennie modułów udostępniających: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19D41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1E9D1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2221A0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9450EE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3B9568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838A60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 dwa interfejsy sieciowe 10Gb Ethernet w standardzie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BaseT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046042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919388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79BA6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CEB6D9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95AB71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82E1C0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 dwa interfejsy sieciowe 1Gb Ethernet w standardzie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BaseT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F7423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7B41ED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410A08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97BEE8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ED891D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5610BA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- dwa interfejsy sieciowe 10Gb Ethernet w standardzie SFP+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07DD7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3C78D4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98474A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D68EB6D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27B86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7EEDEF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- cztery interfejsy sieciowe 10Gb Ethernet w standardzie SFP+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ED16B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F8DCB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DCD05E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CE369C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D1C938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C54A7A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 cztery interfejsy sieciowe 1Gb Ethernet w standardzie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BaseT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6B0135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BE21B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C42773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91A0B3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B5E663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F8515A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- cztery interfejsy sieciowe 25Gb Ethernet ze złączami SFP28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F9CFCF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4A254D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29DC1A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6F93826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72C182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1A6DF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- dwa interfejsy sieciowe 1Gb Ethernet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DA8F6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0BBDC8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206F28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5191B2C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8FDB2C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7C1748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Wbudowane dwa interfejsy sieciowe 1Gb Ethernet w standardzie Base-T.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9F79B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80E31A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394E13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4F169A2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D838E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B0DDFE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Dodatkowo zainstalowane: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E536C4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16E6F1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4A9545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9F4FA9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123A0C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EDAF1DE" w14:textId="54137C42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1 x karta dwuportowa 10Gb Ethernet w sta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nd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ardzie SFP+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7D9EB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E40021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89C299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A767FE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63D96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3B115A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1 x karta dwuportowa 25Gb Ethernet w standardzie SFP28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97BD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741FCB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9897C6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1A8B3FD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F152D0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A6E93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Zainstalowane 2 x 960GB SSD SATA, DWPD min. 1.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1CB9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C01E84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038E4A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28DD6C0" w14:textId="77777777" w:rsidTr="004C443C">
        <w:trPr>
          <w:trHeight w:val="9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00D91C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39F5BB5" w14:textId="706D32FB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Możliwość zainstalowania dedykowanego modułu dla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hypervisora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wirtualizacyjnego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, wyposażonego w nośniki typu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flash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 pojemności min. 64GB, z możliwo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ś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cią konfiguracji zabezpieczenia synchronizacji pomiędzy nośnikami z poziomu BIOS serwera, rozwiązanie nie może powodować zm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n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iejszenia ilości wnęk na dyski twarde.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38E2C2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041E37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ABFFE5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0DDE3E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67480F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E83FE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Możliwość instalacji dwóch dysków hot-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swap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M.2 SATA o pojemności min. 480GB z możliwością konfiguracji RAID 1.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C6BFF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BBFA71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27941C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D885F7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B7E23D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131A4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Sprzętowy kontroler dyskowy z pojemnością cache 8GB, możliwe konfiguracje poziomów RAID: 0,1,5,6,10,50,60.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8877C2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0B3C9F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C5755E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D21F0B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3C2D6B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4B4AB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min. port USB 2.0 oraz port USB 3.0, port VGA.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231EE4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08F5EC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733E69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B04DED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A1C8F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4C26DC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Zintegrowana karta graficzna umożliwiająca wyświetlenie rozdzielczości min. 1600x900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F9F5E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D5CA3B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601B83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EDCB0B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4E49A5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100FD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Redundantne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E0CDCA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E7A9E6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11ADE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4D261E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37352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A21036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Min. dwa zasilacze Hot-Plug min. 700W 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Titanium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8BCE4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17611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98D17A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BCC41F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6029FC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DB86C6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Zatrzask górnej pokrywy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24C1A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82704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BEA6F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6776D28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60B074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0222BB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Niezależna karta od zainstalowanego na serwerze systemu operacyjnego posiadającej dedykowany port RJ-45 Gigabit Ethernet umożliwiającej: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F4FDC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6B8886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055610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7B82C0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EA372C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F77C71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zdalny dostęp do graficznego interfejsu Web karty zarządzającej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1E768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8B7095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0ED393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3BD2D7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F7DBB7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58EBE6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szyfrowane połączenie (TLS) oraz autentykacje i autoryzację użytkownika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02AF8A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B917E2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7A1581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921E25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B870B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6BEAD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podmontowania zdalnych wirtualnych napędów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C09B32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B2A30B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C9B9EA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39FFC6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3F487C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70ADB2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wirtualną konsolę z dostępem do myszy, klawiatury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854D0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2E9607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E27457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D93E07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BA3F5E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C1CA47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wsparcie dla IPv6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DF0A8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4A3C3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97D78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A53313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D1788C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AE6253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wsparcie dla SNMP; IPMI2.0, VLAN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tagging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, SSH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A2D6A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B5F1FF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B5AED6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FDF79B0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493AA7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FFEE2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zdalnego monitorowania w czasie rzeczywistym poboru prądu przez serwer, dane historyczne powinny być dostępne przez min. 7 dni wstecz.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4C06E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FB2B5B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5F33FB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3E4473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B4C2F9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4CAF8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zdalnego ustawienia limitu poboru prądu przez konkretny serwer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9ADBEE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9820F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DA1D13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3ED299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78C8B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5CBDAE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integracja z Active Directory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898F75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F561D1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5A6328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97AA07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C61DA8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1084D5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obsługi przez ośmiu administratorów jednocześnie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8D0C6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C22A6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856EAC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200FCF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06A3DC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6D111F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Wsparcie dla automatycznej rejestracji DNS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DAB620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2DBDD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7D859F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688782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AF4DF6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F2B463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wsparcie dla LLDP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3093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48BFDB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9914E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12B10D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75F85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4C4CD5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wysyłanie do administratora maila z powiadomieniem o awarii lub zmianie konfiguracji sprzętowej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D0745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B06C0A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D18882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014870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C31BA1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ABC977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podłączenia lokalnego poprzez złącze RS-232.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0B6FE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1D1735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B42E33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70D96E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E8E2A8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F0191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zarządzania bezpośredniego poprzez złącze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microUSB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umieszczone na froncie obudowy.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4401E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E09C1D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75F88B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B283C6D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F62C00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A6DE2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Monitorowanie zużycia dysków SSD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484E8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9D1CAC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05D6CE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9BB47E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1A2FF4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52762E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monitorowania z jednej konsoli min. 100 serwerami fizycznymi,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0A7FF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4DC7E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9E8F9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6EB76D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0C352E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050087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Automatyczne zgłaszanie alertów do centrum serwisowego producenta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60841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6B7F9D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AF8694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90EDE9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23C3E0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C25481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Automatyczne update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firmware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dla wszystkich komponentów serwera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D4AC2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804C73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A5C7C0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ABF0AF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A7E8D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40402B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przywrócenia poprzednich wersji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firmware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E7D1F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06F854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159528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4900F60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E15438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0CBAEF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eksportu eksportu/importu konfiguracji (ustawienie karty zarządzającej,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BIOSu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, kart sieciowych, HBA oraz konfiguracji kontrolera RAID) serwera do pliku XML lub JSON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04F4F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63614B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3C4EB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623290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5AA9CD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D4F71B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zaimportowania ustawień, poprzez bezpośrednie podłączenie plików konfiguracyjnych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CB621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47FAF1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16C631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E5851D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DE8BA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43BD7C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Automatyczne tworzenie kopii ustawień serwera w oparciu o harmonogram.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6D2797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38A813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38C745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A2FBBD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D48D1A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DA04CC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wykrywania odchyleń konfiguracji na poziomie konfiguracji UEFI oraz wersji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firmware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serwera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9AF8A2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E54A62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07817A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B4D70E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445984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CEF6A41" w14:textId="756F26DD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Możliwość zainstalowania op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ro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gramowania producenta do zarządz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a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nia, spełniającego poniższe wymagania: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CC1BA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C4CA50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3652BC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230FB28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4F0E7D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8FB1D9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Wsparcie dla serwerów, urządzeń sieciowych oraz pamięci masowych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4ABE93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21E293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A1FD4B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F56850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1FCC4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AEB9F3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integracja z Active Directory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4834B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91BE0C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D8AC28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3F557B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539FCF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CA9612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zarządzania dostarczonymi serwerami bez udziału dedykowanego agenta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00C01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CD6825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C53BFE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A98370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632985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E0B166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Wsparcie dla protokołów SNMP, IPMI, Linux SSH,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Redfish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681EC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7708C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3D2D73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FC4E11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8492D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5010C0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uruchamiania procesu wykrywania urządzeń w oparciu o harmonogram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3759E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A8112B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4B8C75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62FA1C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EFB68C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DEF49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Szczegółowy opis wykrytych systemów oraz ich komponentów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FEC173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F43B77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3E1BD8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F3539D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C5D432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0E6FBE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eksportu raportu do CSV, HTML, XLS, PDF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5B80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951FAD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91113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0E09CCA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7F7E9E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CD5411A" w14:textId="6D267181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tworzenia własnych raportów w opa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r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ciu o wszystkie informacje zawarte w inwentarzu.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C2F316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987F8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0484DE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5EF363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3EBA20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1B3228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Grupowanie urządzeń w oparciu o kryteria użytkownika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3FB1C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6936C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0AA724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38CA918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5005B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9D0EC60" w14:textId="39A1F1A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Tworzenie automatycznie grup urządzeń w op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ar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ciu o dowolny element konfiguracji serwera np. Nazwa, lokalizacja, system operacyjny, obsadzenie slotów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PCIe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, pozostałego czasu gwarancji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08F6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5E41A0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AC786D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D8777C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63FC00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6B6C3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uruchamiania narzędzi zarządzających w poszczególnych urządzeniach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6C7D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916C9B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A45A9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FC30FCA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10A94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DF7E35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Szybki podgląd stanu środowiska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DA00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B5A259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C61D20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74C56E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941898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245F56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Podsumowanie stanu dla każdego urządzenia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0E3754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11847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B701E6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BB4272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6AF8A5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75A964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Szczegółowy status urządzenia/elementu/komponentu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42F80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93127A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DCA79E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32EA75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94FDE6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8134B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Generowanie alertów przy zmianie stanu urządzenia.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3763D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2FF452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60C5BE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62EBE4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FD6F9E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53D83A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Filtry raportów umożliwiające podgląd najważniejszych zdarzeń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EFB59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E1656A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A07BEC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DEC867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A463F1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3EE85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Integracja z service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desk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producenta dostarczonej platformy sprzętowej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92071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D27B4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73A2D6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0FC076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5EF1FA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19D37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przejęcia zdalnego pulpitu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5DBBA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1F536A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73FAD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E94F3D0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FB4405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11578F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podmontowania wirtualnego napędu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FCD75F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8344CD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974BD7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EDCF35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35A694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E848B4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Kreator umożliwiający dostosowanie akcji dla wybranych alertów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E0D4A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54ACFA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20E04D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40166E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D7029C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2FF4A4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importu plików MIB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6D0517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0D12DE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3D9C25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4525BD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4D4DF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59A339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Przesyłanie alertów „as-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is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” do innych konsol firm trzecich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7BA986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C74774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B101DC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BF9C761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69A221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219D3C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definiowania ról administratorów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DF08F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E68772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8AFD13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5CD81F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862A80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BD4316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zdalnej aktualizacji oprogramowania wewnętrznego serwerów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6787D6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770E19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08A543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8A4EA7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7FFE5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F173A7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Aktualizacja oparta o wybranie źródła bibliotek (lokalna, on-line producenta oferowanego rozwiązania)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92B40C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B5FC4D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40F43B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336BE75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9C3B92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4A3433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instalacji oprogramowania wewnętrznego bez potrzeby instalacji agenta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6578A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75D96E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C73D81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430D52B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63553E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6E00CF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automatycznego generowania i zgłaszania incydentów awarii bezpośrednio do centrum serwisowego producenta serwerów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5D85D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AE37DF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4643AC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08058A3" w14:textId="77777777" w:rsidTr="004C443C">
        <w:trPr>
          <w:trHeight w:val="12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06E8E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C5A506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aletrów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, MAC adresów kart sieciowych, stanie poszczególnych komponentów serwera.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CB355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1CB289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9E13A2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BD098FE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6D52BB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AFB2F1F" w14:textId="30351175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Możliwość tworzenia sprzętowej konfiguracji bazowej i na jej podst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a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wie weryfikacji środowiska w celu wykrycia rozbieżności.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14BAD1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F3B92A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B753DC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8D68C5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C8A38F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DB83CC4" w14:textId="2D057372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Wdrażanie serwerów, rozwiązań modularnych oraz przełączników sieciowych w op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arciu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 profile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FFE74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7591C0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0946AE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7FF1A41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9D1DC3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2F8F25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Możliwość migracji ustawień serwera wraz z wirtualnymi adresami sieciowymi (MAC, WWN, IQN) między urządzeniami.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37578F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CAFD1D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011DAA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BE493BB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09F0F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1291B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Tworzenie gotowych paczek informacji umożliwiających zdiagnozowanie awarii urządzenia przez serwis producenta.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191A5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B1453C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5DF8B0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EB75EA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B045C2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14F26B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Zdalne uruchamianie diagnostyki serwera.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8E2F2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DB497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41B848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3907798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BB6BD9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C9498BC" w14:textId="24392CD2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·         Dedykowana aplikacja na urządzenia mobilne integrująca się z wyżej opisanymi oprogramowaniem zarz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ą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dzającym.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BB42B6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9F1F6B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292C4B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620C4E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848CC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BC7D8C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·         Oprogramowanie dostarczane jako wirtualny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appliance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dla KVM,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ESXi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i Hyper-V.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D4E30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ind w:firstLineChars="200" w:firstLine="440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E17348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B45F6F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7CD54B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22F14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3384E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4 x moduł nadawczo-odbiorczy SFP28 SR 25GbE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18B92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982C2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86362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F34B0EC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B37264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842F5BF" w14:textId="77777777" w:rsidR="00D13AC6" w:rsidRPr="00F041BB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</w:pPr>
            <w:r w:rsidRPr="00F041BB"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  <w:t>Serwer musi być wyprodukowany zgodnie z normą ISO-9001:2015 oraz ISO-14001.</w:t>
            </w:r>
          </w:p>
          <w:p w14:paraId="3DC5388E" w14:textId="74D2317D" w:rsidR="00F041BB" w:rsidRPr="00D13AC6" w:rsidRDefault="00F041BB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bookmarkStart w:id="0" w:name="_Hlk175035925"/>
            <w:r w:rsidRPr="007B7B06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t>Przed podpisaniem umowy Wykonawcy złoży oświadczenie potwierdzające,</w:t>
            </w:r>
            <w:bookmarkEnd w:id="0"/>
            <w:r w:rsidRPr="007B7B06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t xml:space="preserve"> że</w:t>
            </w:r>
            <w:r w:rsidRPr="007B7B06">
              <w:rPr>
                <w:highlight w:val="yellow"/>
              </w:rPr>
              <w:t xml:space="preserve"> serwer  jest wyprodukowany zgodnie z normą ISO-9001:2015 oraz ISO-14001.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177EA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A63533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F7C50C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102C5F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3742FA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7581A96" w14:textId="77777777" w:rsidR="00D13AC6" w:rsidRPr="00F041BB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</w:pPr>
            <w:r w:rsidRPr="00F041BB"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  <w:t>Serwer musi posiadać deklaracja CE. </w:t>
            </w:r>
          </w:p>
          <w:p w14:paraId="1B55761C" w14:textId="52C6A0D8" w:rsidR="00F041BB" w:rsidRPr="00D13AC6" w:rsidRDefault="00F041BB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7B7B06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t>Przed podpisaniem umowy Wykonawcy złoży oświadczenie potwierdzające, ze serwer posiada deklarację CE.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A0D2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CB7AF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DCF9E8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EA8151B" w14:textId="77777777" w:rsidTr="004C443C">
        <w:trPr>
          <w:trHeight w:val="9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272667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8082434" w14:textId="77777777" w:rsidR="00D13AC6" w:rsidRPr="00F041BB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</w:pPr>
            <w:r w:rsidRPr="00F041BB"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  <w:t xml:space="preserve">Urządzenia wyprodukowane są przez producenta, zgodnie z normą PN-EN ISO 50001 lub oświadczenie producenta o stosowaniu w fabrykach polityki zarządzania energią, która jest zgodna z obowiązującymi przepisami na terenie Unii Europejskiej. </w:t>
            </w:r>
          </w:p>
          <w:p w14:paraId="79D07CE6" w14:textId="0CE8B759" w:rsidR="00F041BB" w:rsidRPr="00F041BB" w:rsidRDefault="00F041BB" w:rsidP="00F041BB">
            <w:pPr>
              <w:spacing w:after="0"/>
              <w:jc w:val="both"/>
            </w:pPr>
            <w:r w:rsidRPr="007B7B06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t xml:space="preserve">Przed  podpisaniem umowy  Wykonawca złoży oświadczenie potwierdzające, że </w:t>
            </w:r>
            <w:r w:rsidRPr="007B7B06">
              <w:rPr>
                <w:highlight w:val="yellow"/>
              </w:rPr>
              <w:t>urządzenia  wyprodukowane są przez producenta, zgodnie z normą PN-EN ISO 50001 lub oświadczenie producenta o stosowaniu w fabrykach polityki zarzadzania energią, która jest zgodna z obowiązującymi przepisami na terenie Unii Europejskiej.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E5475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938EA3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77DC2D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22BBDC7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13EA1B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B73BC7D" w14:textId="77777777" w:rsidR="00D13AC6" w:rsidRPr="00F041BB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</w:pPr>
            <w:r w:rsidRPr="00F041BB"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  <w:t xml:space="preserve">Oferowany serwer musi znajdować się na liście Windows Server </w:t>
            </w:r>
            <w:proofErr w:type="spellStart"/>
            <w:r w:rsidRPr="00F041BB"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  <w:t>Catalog</w:t>
            </w:r>
            <w:proofErr w:type="spellEnd"/>
            <w:r w:rsidRPr="00F041BB"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  <w:t xml:space="preserve"> i posiadać status „</w:t>
            </w:r>
            <w:proofErr w:type="spellStart"/>
            <w:r w:rsidRPr="00F041BB"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  <w:t>Certified</w:t>
            </w:r>
            <w:proofErr w:type="spellEnd"/>
            <w:r w:rsidRPr="00F041BB"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  <w:t xml:space="preserve"> for Windows” dla systemów Microsoft Windows 2016, Microsoft Windows 2019 x64, Microsoft Windows 2022.</w:t>
            </w:r>
          </w:p>
          <w:p w14:paraId="1ACE114B" w14:textId="4D47014C" w:rsidR="00F041BB" w:rsidRPr="00F041BB" w:rsidRDefault="00F041BB" w:rsidP="00F041BB">
            <w:pPr>
              <w:spacing w:after="0"/>
              <w:jc w:val="both"/>
            </w:pPr>
            <w:r w:rsidRPr="007B7B06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t>Przed  podpisaniem umowy  Wykonawca złoży oświadczenie potwierdzające, że O</w:t>
            </w:r>
            <w:r w:rsidRPr="007B7B06">
              <w:rPr>
                <w:highlight w:val="yellow"/>
              </w:rPr>
              <w:t xml:space="preserve">ferowany serwer znajduje się na liście Windows Server </w:t>
            </w:r>
            <w:proofErr w:type="spellStart"/>
            <w:r w:rsidRPr="007B7B06">
              <w:rPr>
                <w:highlight w:val="yellow"/>
              </w:rPr>
              <w:t>Catalog</w:t>
            </w:r>
            <w:proofErr w:type="spellEnd"/>
            <w:r w:rsidRPr="007B7B06">
              <w:rPr>
                <w:highlight w:val="yellow"/>
              </w:rPr>
              <w:t xml:space="preserve"> i posiada status „ </w:t>
            </w:r>
            <w:proofErr w:type="spellStart"/>
            <w:r w:rsidRPr="007B7B06">
              <w:rPr>
                <w:highlight w:val="yellow"/>
              </w:rPr>
              <w:t>Certified</w:t>
            </w:r>
            <w:proofErr w:type="spellEnd"/>
            <w:r w:rsidRPr="007B7B06">
              <w:rPr>
                <w:highlight w:val="yellow"/>
              </w:rPr>
              <w:t xml:space="preserve"> for Windows” dla systemów Microsoft Windows 2016, Microsoft Windows 2019x64, Microsoft Windows 2022.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7A25B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F06A60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D1CBA8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2A6C22C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31C701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5059C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Zamawiający wymaga min. 60 miesięcy gwarancji producenta możliwości zgłaszania zdarzeń serwisowych w trybie 24/7/365  następującymi kanałami: telefonicznie, przez Internet oraz z wykorzystaniem aplikacji.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353471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CDAA8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B71AA7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C2713CD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273EB6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419901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Zamawiający oczekuje bezpośredniego dostępu do wykwalifikowanej kadry inżynierów technicznych a w przypadku konieczności eskalacji zgłoszenia serwisowego wyznaczonego Kierownika Eskalacji po stronie wykonawcy.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BA01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1CCCD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8F78E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BE0DFBD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22F4F2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BFB6C8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Zamawiający wymaga pojedynczego punktu kontaktu dla całego rozwiązania producenta, w tym także sprzedanego oprogramowania.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7FFC3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3FCB80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12BE44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A5E6508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F44A1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2CB856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Zgłoszenie przyjęte jest potwierdzane przez zespół pomocy technicznej  (mail/telefon / aplikacja / portal) przez nadanie unikalnego numeru zgłoszenia pozwalającego na identyfikację zgłoszenia w trakcie realizacji naprawy i po jej zakończeniu.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C9EF4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1EE34D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A6EDE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061A966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256A87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189BE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Zamawiający oczekuje możliwości samodzielnego kwalifikowania poziomu ważności naprawy.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6911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5E02EB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46E23D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54A36D25" w14:textId="77777777" w:rsidTr="004C443C">
        <w:trPr>
          <w:trHeight w:val="56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DAC942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0BD98A7" w14:textId="78441E1E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Zamawiający oczekuje rozpoczęcia diagnostyki telefonicznej / internetowej już w momencie dokonania zgłoszenia. Certyfikowany Technik </w:t>
            </w:r>
            <w:r w:rsidRPr="00D13AC6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lang w:eastAsia="pl-PL"/>
              </w:rPr>
              <w:t xml:space="preserve">wykonawcy / producenta 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si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ę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na inną formę.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9626E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F5EEC1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7932FF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AF99796" w14:textId="77777777" w:rsidTr="004C443C">
        <w:trPr>
          <w:trHeight w:val="54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C9F058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36E61D42" w14:textId="77777777" w:rsid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F041BB">
              <w:rPr>
                <w:rFonts w:eastAsia="Times New Roman" w:cs="Calibri"/>
                <w:strike/>
                <w:kern w:val="0"/>
                <w:lang w:eastAsia="pl-PL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. </w:t>
            </w:r>
          </w:p>
          <w:p w14:paraId="1BA4B549" w14:textId="34FD4804" w:rsidR="00F041BB" w:rsidRPr="00D13AC6" w:rsidRDefault="00F041BB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7B7B06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t>Zamawiający wymaga od podmiotu realizującego serwis lub producenta sprzętu złożenia przed podpisaniem umowy oświadczenia, że w przypadku wystąpienia awarii dysku twardego w urządzeniu objętym aktywnym wparciem technicznym, uszkodzony dysk twardy pozostaje u Zamawiającego.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8CB7AC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132D6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6627A4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D775B67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4392C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D461555" w14:textId="77777777" w:rsidR="00D13AC6" w:rsidRPr="00F041BB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</w:pPr>
            <w:r w:rsidRPr="00F041BB"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  <w:t>Wymagane dołączenie do oferty oświadczenia Producenta potwierdzając, że Serwis urządzeń będzie realizowany bezpośrednio przez Producenta i/lub we współpracy z Autoryzowanym Partnerem Serwisowym Producenta. </w:t>
            </w:r>
          </w:p>
          <w:p w14:paraId="6063C6DA" w14:textId="30F2458A" w:rsidR="00F041BB" w:rsidRPr="00D13AC6" w:rsidRDefault="00F041BB" w:rsidP="00F041BB">
            <w:pPr>
              <w:spacing w:after="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7B7B06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t>Wymagane  złożenie przed podpisaniem umowy  oświadczenia Producenta potwierdzające, że Serwis urządzeń będzie realizowany bezpośrednio przez Producenta i/lub we współpracy z Autoryzowanym Partnerem Serwisowym Producenta.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D0821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01BB7F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26CA80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9FFD05E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6FA5B1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9727D6F" w14:textId="77777777" w:rsidR="00D13AC6" w:rsidRPr="00F041BB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</w:pPr>
            <w:r w:rsidRPr="00F041BB">
              <w:rPr>
                <w:rFonts w:eastAsia="Times New Roman" w:cs="Calibri"/>
                <w:strike/>
                <w:color w:val="000000"/>
                <w:kern w:val="0"/>
                <w:lang w:eastAsia="pl-PL"/>
              </w:rPr>
              <w:t>Oświadczenie producenta serwera, potwierdzające, że sprzęt pochodzi z oficjalnego kanału dystrybucyjnego producenta. </w:t>
            </w:r>
          </w:p>
          <w:p w14:paraId="5D85E8BC" w14:textId="0842D3DC" w:rsidR="00F041BB" w:rsidRPr="00D13AC6" w:rsidRDefault="00F041BB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7B7B06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t>Wymagane złożenie przed podpisaniem umowy oświadczenie producenta serwera potwierdzające, że sprzęt pochodzi z oficjalnego kanału dystrybucyjnego producenta.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3E4A8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1BE6C9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158E2C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4AE06F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5E9803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09E87E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Zamawiający wymaga dokumentacji w języku polskim lub angi</w:t>
            </w:r>
            <w:r w:rsidRPr="00D13AC6">
              <w:rPr>
                <w:rFonts w:eastAsia="Times New Roman" w:cs="Calibri"/>
                <w:i/>
                <w:iCs/>
                <w:color w:val="000000"/>
                <w:kern w:val="0"/>
                <w:lang w:eastAsia="pl-PL"/>
              </w:rPr>
              <w:t>e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lskim.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73E113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326542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0771D5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193CFDDF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34D586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945C6E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Możliwość telefonicznego sprawdzenia konfiguracji sprzętowej serwera oraz warunków gwarancji po podaniu numeru seryjnego bezpośrednio u producenta lub jego przedstawiciela. 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4ED6BE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35270A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CB7FBA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200F7DD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3E418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0811B3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Karta sieciowa Dual Port 10/25GbE SFP28 wraz z kompletem wkładek SPF do posiadanego serwera (opis w załączniku) o poniższych parametrach minimalnych: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FEF4A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6FBE64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8BD520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371F52B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A31B5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01BFF8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2 x 25 Gigabit Ethernet (SFP28)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D261EF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A7E52B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B388C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60917B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5D74C1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F8EBD3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Niski profil (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Low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Profile)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1FCA21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3E258E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D79003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39CAEB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5DF9F1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EE65C5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PCI Express 3.0 x8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71578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5380C1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235C3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35EEA0D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CE7E49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73A738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Przewodowa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6E5AE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CA33D5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D752D7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C6243D8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B45E6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39BB33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10 Gigabit Ethernet, 25 Gigabit Ethernet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738577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781744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C56E37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F25700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0D1A50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5B535D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25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Gbps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na port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E0593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0CA9AF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7A7103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45F14C7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A46E3C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C9C339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SFP28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73DE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B2AD81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5B1E30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DA7DB0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EACE79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7A3D68C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RDMA (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RoCE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v2)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E90A0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732C53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1C500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6A2FDC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B8ADA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68E0345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Zgodna z systemami Dell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PowerEdge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, w tym R540, R640, R740, R7525, XR11 i innymi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C4467C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74D77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1E4191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2DC2B99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5EE187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4A2CE23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Wspierana przez Dell Technical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Support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przy użyciu z systemami Dell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6EF74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B5B239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271AB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3BE0D048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255E64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54706CF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Zapewnia niezawodne, standardowe rozwiązania dla sieci o wysokiej wydajności; obsługuje funkcje zarządzania i monitorowania sieci.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110F8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18D990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7034FD2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0A2BFF14" w14:textId="77777777" w:rsidTr="004C443C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AA3319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21B2937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gwarancja 12 miesięcy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CF669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19F71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3CC26F1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769273D0" w14:textId="77777777" w:rsidTr="00E87827">
        <w:trPr>
          <w:trHeight w:val="6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54E5473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7AE984C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Najnowszy dostępny komercyjny serwerowy system operacyjny kompatybilny do posiadanego oprogramowania bazodanowego firmy RADIX oraz MS SQL Serwer 2016. Parametry minimalne: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6B97E64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3D69910D" w14:textId="1F1840D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15EE6B2E" w14:textId="2452FF48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542F0C8E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B71E3E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0B41F48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licencja wieczysta na 16 rdzeni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C4FD65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1DDF5B0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1CB483C0" w14:textId="007CC0EB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38C3F658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01791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4F8ED7C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możliwość instalacji 2 maszyn wirtualnych na jednej licencji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5F882C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19BEAAF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42B1C449" w14:textId="4D01A30E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9C14EB3" w14:textId="77777777" w:rsidTr="00E87827">
        <w:trPr>
          <w:trHeight w:val="6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0CE4EE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5B6ECCF" w14:textId="001147CE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Wymagamy by oprogramowanie było fabrycznie nowe, nigdy wcześniej nieaktywowane oraz w pełni zgodne z warunkami umowy licencyjnej producenta.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Wymagany dowód licencji w formie papierowej</w:t>
            </w:r>
            <w:r w:rsidR="007B7B0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</w:t>
            </w:r>
            <w:r w:rsidR="00D05507">
              <w:rPr>
                <w:rFonts w:eastAsia="Times New Roman" w:cs="Calibri"/>
                <w:color w:val="000000"/>
                <w:kern w:val="0"/>
                <w:lang w:eastAsia="pl-PL"/>
              </w:rPr>
              <w:t>(a</w:t>
            </w:r>
            <w:r w:rsidR="00D05507">
              <w:t xml:space="preserve">kceptujemy wydruk emaila z licencją jako papierowy dowód licencji) </w:t>
            </w:r>
            <w:r w:rsidR="007B7B06" w:rsidRPr="007B7B06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t>Wykonawca złoży w procedurze odbioru końcowego.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A78DB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7F3F75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55640930" w14:textId="52D925F4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4C443C" w:rsidRPr="00D13AC6" w14:paraId="57C0832D" w14:textId="77777777" w:rsidTr="00E87827">
        <w:trPr>
          <w:trHeight w:val="465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07F5282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63134FF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Licencje dostępowe do serwerów opisanych w p. 4 dla stacji klienckich opartych na systemach operacyjnych MS Windows 10 i 11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76F0909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65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05E828CF" w14:textId="4C4150F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36723DFA" w14:textId="6F91ED16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10908D5E" w14:textId="77777777" w:rsidTr="00E87827">
        <w:trPr>
          <w:trHeight w:val="64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F7529A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14:paraId="1CCB5FAF" w14:textId="53D3BD8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Wymagamy by licencje były fabrycznie nowe, nigdy wcześniej nieaktywowane oraz w pełni zgodne z </w:t>
            </w:r>
            <w:r w:rsidRPr="007B7B06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t xml:space="preserve">warunkami umowy licencyjnej producenta. Wymagany dowód licencji w formie </w:t>
            </w:r>
            <w:r w:rsidRPr="007B7B06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lastRenderedPageBreak/>
              <w:t>papierowej</w:t>
            </w:r>
            <w:r w:rsidR="00D05507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t>. (a</w:t>
            </w:r>
            <w:r w:rsidR="00D05507">
              <w:t xml:space="preserve">kceptujemy wydruk emaila z licencją jako papierowy dowód licencji) </w:t>
            </w:r>
            <w:r w:rsidR="00D05507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t>(</w:t>
            </w:r>
            <w:r w:rsidR="007B7B06" w:rsidRPr="007B7B06">
              <w:rPr>
                <w:rFonts w:eastAsia="Times New Roman" w:cs="Calibri"/>
                <w:color w:val="000000"/>
                <w:kern w:val="0"/>
                <w:highlight w:val="yellow"/>
                <w:lang w:eastAsia="pl-PL"/>
              </w:rPr>
              <w:t xml:space="preserve"> Wykonawca złoży w procedurze odbioru końcowego.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1226DA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14:paraId="60D57888" w14:textId="28F01C86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center"/>
          </w:tcPr>
          <w:p w14:paraId="787DE394" w14:textId="00CBE3D5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4C443C" w:rsidRPr="00D13AC6" w14:paraId="324C33D0" w14:textId="77777777" w:rsidTr="00E87827">
        <w:trPr>
          <w:trHeight w:val="3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148C188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5D94E00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instalacja macierzy i pozostałych elementów opisanych w p. 3, osadzenie w szafie </w:t>
            </w:r>
            <w:proofErr w:type="spellStart"/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rack</w:t>
            </w:r>
            <w:proofErr w:type="spellEnd"/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, podłączenie macierzy do serwerów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336384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0BE1C3F0" w14:textId="26584098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6F267B11" w14:textId="1E8318B9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2C855B02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06C772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C22C1D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konfiguracja ogólna macierzy (konfiguracja sieciowa, podłączenie do portalu Dell suport/Dell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apex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/IQ).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C725BC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A3878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36172F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3B5DD4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301225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2D8E0E9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konfiguracja przestrzeni dyskowej (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raid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oraz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LUN'y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DD25A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9F30B5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0C062B4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93835B3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2F72BB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6F54B80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instalacja kart 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iSCSI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 w serwerach obliczeniowych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261A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0D64E7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88C4B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C925B8A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70FE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05E332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reprezentacja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LUN'ów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na serwerach obliczeniowych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1473C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3AB2E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9166E4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4709D0DA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5CE6F4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B8F24A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przygotowanie procedur podstawowej obsługi macierzy (np. dodawanie przestrzeni dyskowej do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lunów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, konfiguracja backupów etc.)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D7EB15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065AB0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75DDD9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F9EA7F6" w14:textId="77777777" w:rsidTr="004C443C">
        <w:trPr>
          <w:trHeight w:val="58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E9E26D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7445ED2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instalacja oprogramowania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wirtualizatora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zapewniającego scentralizowane zarządzanie maszynami wirtualnymi, "live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migration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" maszyn wirtualnych między serwerami fizycznymi, aktualizacji oprogramowania zawierające łatki bezpieczeństwa.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9A827E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3103D1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10533B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7DD1343C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49E72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2D8BC18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instalacja serwera backupowego służącego do wykonywania regularnych automatycznych kopii bezpieczeństwa maszyn wirtualnych z funkcją kompresji i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deduplikacji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kopii zapasowych na maszynie udostępnionej przez zlecającego.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58B7A4E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2DFF9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578293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A7CD2A4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DCDD0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BB7CA8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instalacja dwóch serwerów wirtualnych zakupionych wg pozycji 4.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4E16CC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7167F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51BE71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6D18BCD8" w14:textId="77777777" w:rsidTr="004C443C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1A9B86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713B3D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migracja kontrolera domeny opartego na Windows 2016 z maszyny wirtualnej funkcjonującej na platformie 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VMWare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 do nowego serwera wirtualnego. W tym konfiguracja struktury "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Work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Folders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" dla wszystkich użytkowników (63).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E7EF7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1DA7B5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25BA09D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910BDAF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911A3B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64C206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kern w:val="0"/>
                <w:lang w:eastAsia="pl-PL"/>
              </w:rPr>
              <w:t>Wdrożenie przy współpracy z użytkownikami migracji lokalnych folderów do struktury "</w:t>
            </w:r>
            <w:proofErr w:type="spellStart"/>
            <w:r w:rsidRPr="00D13AC6">
              <w:rPr>
                <w:rFonts w:eastAsia="Times New Roman" w:cs="Calibri"/>
                <w:kern w:val="0"/>
                <w:lang w:eastAsia="pl-PL"/>
              </w:rPr>
              <w:t>Work</w:t>
            </w:r>
            <w:proofErr w:type="spellEnd"/>
            <w:r w:rsidRPr="00D13AC6">
              <w:rPr>
                <w:rFonts w:eastAsia="Times New Roman" w:cs="Calibri"/>
                <w:kern w:val="0"/>
                <w:lang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kern w:val="0"/>
                <w:lang w:eastAsia="pl-PL"/>
              </w:rPr>
              <w:t>Folders</w:t>
            </w:r>
            <w:proofErr w:type="spellEnd"/>
            <w:r w:rsidRPr="00D13AC6">
              <w:rPr>
                <w:rFonts w:eastAsia="Times New Roman" w:cs="Calibri"/>
                <w:kern w:val="0"/>
                <w:lang w:eastAsia="pl-PL"/>
              </w:rPr>
              <w:t>".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79D1D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673A1E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D163C3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54385EF2" w14:textId="77777777" w:rsidTr="004C443C">
        <w:trPr>
          <w:trHeight w:val="9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249A2F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DFCAC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migracja serwera baz danych (wraz z serwerem WWW) opartego na Windows 2016 i ms SQL 2016 z maszyny wirtualnej funkcjonującej na platformie 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VMWare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 do nowego serwera wirtualnego.  W wycenia należy uwzględnić koszty wsparcia ze strony autoryzowanego serwisu. (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Infojar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651B4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ED434B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6DF7BDC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0993D29E" w14:textId="77777777" w:rsidTr="004C443C">
        <w:trPr>
          <w:trHeight w:val="9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19F5A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29556DF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instalacja nowego serwera wirtualnego opartego na darmowym rozwiązaniu kompatybilnym z wykorzystywanym dotychczas serwerem WWW (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Tomcat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) wraz z migracją z serwera wirtualnego Windows 2016 (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VMWare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).  W wycenia należy uwzględnić koszty wsparcia ze strony autoryzowanego serwisu. (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Infojar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D69539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CB953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4CB9A8F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F232C6D" w14:textId="77777777" w:rsidTr="00E87827">
        <w:trPr>
          <w:trHeight w:val="6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703A46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1C7F02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wykonanie migracji serwera obsługującego system EZD (e-Instytucja) obecnie funkcjonujący na maszynie wirtualnej 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vmware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 xml:space="preserve"> i systemie operacyjnym </w:t>
            </w:r>
            <w:proofErr w:type="spellStart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linux</w:t>
            </w:r>
            <w:proofErr w:type="spellEnd"/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. W wycenie należy uwzględnić koszt wsparcia producenta systemu (e-Instytucja)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55842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11BBA08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660A95D6" w14:textId="22B2DF1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</w:tr>
      <w:tr w:rsidR="004C443C" w:rsidRPr="00D13AC6" w14:paraId="6B545470" w14:textId="77777777" w:rsidTr="00E87827">
        <w:trPr>
          <w:trHeight w:val="3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436C2AD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27B43A6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NAS o poniższych parametrach minimalnych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483108B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1C27132B" w14:textId="6F565E8C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22171A2F" w14:textId="4324A18C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633C2DD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D3844F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2B9E64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9 kieszeni dyskowych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C4475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04F2107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556DF3EE" w14:textId="5F760B8E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3CA35907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AC78B3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434FC2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2 złącza SPF+ 10GbE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FB9191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0B053DF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6325CFD7" w14:textId="4EA6399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433C8D46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19B26E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831339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2 złącza 2,5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GbE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949AA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09FE6D2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00AE8BF9" w14:textId="59FC9BD1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30994E5C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5048AA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A47EDE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Pamięć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flash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512MB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47E8A7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1592BF0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39B6B061" w14:textId="4AF276B8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3BDB855C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45FE0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6D247C7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Pamięć systemowa 16GB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C7BE3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8D92DD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2EC0F749" w14:textId="52C149DC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CB61E6E" w14:textId="77777777" w:rsidTr="00E87827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F97EC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2492E1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SSD Cache - 2 dyski 2,5in dedykowane do NAS o minimalnej łącznej pojemności 1TB zapis 520MB odczyt 560MB lub szybsze gwarancja 5 lat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7AB67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4AB712A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6C546511" w14:textId="5C3B4EAB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25228464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1BA597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1507460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Architektura procesora 64-bit ARM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1586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7BD4E8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31EE7C47" w14:textId="6A45D67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4D838E41" w14:textId="77777777" w:rsidTr="00E8782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83DA69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02C42B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gwarancja 24 miesiące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088D9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3C2BF62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7D8E0C87" w14:textId="1441F6C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4C443C" w:rsidRPr="00D13AC6" w14:paraId="06F72DC6" w14:textId="77777777" w:rsidTr="00E87827">
        <w:trPr>
          <w:trHeight w:val="3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4AF52D2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3AD20D5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Dyski serwerowe do NAS wybranego w p. 7 o następujących parametrach minimalnych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2756396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31E47E0E" w14:textId="02B3BD0D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25C4B8ED" w14:textId="41A56F8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13A47BDA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3A3B7F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AD500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pojemność 16 TB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76A32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A5F346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216AA764" w14:textId="446841A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C6C4A7A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83009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55E8586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interfejs SATA 3 (6Gb/s)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D941B0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45DE549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7D608F74" w14:textId="6EAAE09B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0BB03869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172158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70B14CA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pamięć podręczna 256MB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D5EC9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15E1717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04CB70BA" w14:textId="2C779BB6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64ADBAFE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270C76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B9E50D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prędkość obrotowa 7200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obr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/min (parametr tylko dla dysków HDD)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8F6E0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707D801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19A832B3" w14:textId="039D6345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1DC7AAB" w14:textId="77777777" w:rsidTr="00E8782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7EB846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214447D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gwarancja 5 lat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85529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3CBDF68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5EA81939" w14:textId="47F612D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4C443C" w:rsidRPr="00D13AC6" w14:paraId="5FB0C09A" w14:textId="77777777" w:rsidTr="00E87827">
        <w:trPr>
          <w:trHeight w:val="3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325ADF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63408C3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Dyski zewnętrzne o minimalnych parametrach: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3E508E3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336DE66C" w14:textId="545DEEC1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1A2D876B" w14:textId="463E054B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5E004209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AD9BEA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2E738C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pojemność 16 TB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E5761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7AF0262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69F458D1" w14:textId="329D3A28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87904C9" w14:textId="77777777" w:rsidTr="004C443C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AF233A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8B371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interfejs USB 3.2 Gen. 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719A05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D293EC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525A97A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D13AC6" w:rsidRPr="00D13AC6" w14:paraId="3FC70F00" w14:textId="77777777" w:rsidTr="004C443C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5B97D6B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80D490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gwarancja 24 miesiące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B6DB7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20D78B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  <w:hideMark/>
          </w:tcPr>
          <w:p w14:paraId="19DC9E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4C443C" w:rsidRPr="00D13AC6" w14:paraId="13CC9644" w14:textId="77777777" w:rsidTr="00E87827">
        <w:trPr>
          <w:trHeight w:val="300"/>
        </w:trPr>
        <w:tc>
          <w:tcPr>
            <w:tcW w:w="520" w:type="dxa"/>
            <w:shd w:val="clear" w:color="000000" w:fill="E7F6FF"/>
            <w:noWrap/>
            <w:vAlign w:val="center"/>
            <w:hideMark/>
          </w:tcPr>
          <w:p w14:paraId="52974BD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8836" w:type="dxa"/>
            <w:shd w:val="clear" w:color="000000" w:fill="E7F6FF"/>
            <w:vAlign w:val="center"/>
            <w:hideMark/>
          </w:tcPr>
          <w:p w14:paraId="1146477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 xml:space="preserve">Instalacja, konfiguracja i wdrożenie zakupionych sprzętów i oprogramowania - dotyczy routera opisanego w p.11. </w:t>
            </w:r>
          </w:p>
        </w:tc>
        <w:tc>
          <w:tcPr>
            <w:tcW w:w="1145" w:type="dxa"/>
            <w:shd w:val="clear" w:color="000000" w:fill="E7F6FF"/>
            <w:noWrap/>
            <w:vAlign w:val="center"/>
            <w:hideMark/>
          </w:tcPr>
          <w:p w14:paraId="50303C1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shd w:val="clear" w:color="000000" w:fill="E7F6FF"/>
            <w:noWrap/>
            <w:vAlign w:val="center"/>
          </w:tcPr>
          <w:p w14:paraId="657EA129" w14:textId="50FDD61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000000" w:fill="E7F6FF"/>
            <w:noWrap/>
            <w:vAlign w:val="center"/>
          </w:tcPr>
          <w:p w14:paraId="45F99B6E" w14:textId="54CCD46A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157D124E" w14:textId="77777777" w:rsidTr="00E87827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AAD77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5BC40C0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Podział sieci warstwy drugiej oraz trzeciej na podsieci (dedykowana podsieć dla każdego z budynków, sieć serwerowa, sieć zarządzania serwerami,  sieć gościnna, sieć DMZ zapewniająca izolację fizyczną oraz logiczną podłączonych urządzeń)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0ED44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52F21F7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2DAE5EF1" w14:textId="350A8280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A654E2" w14:paraId="3D2D775C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A33EA2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4AA3C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konfiguracja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usług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UTM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takich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jak: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AntiVirus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WebFilter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, DNS Filter, Application Control, IPS, SSL Inspection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1E2909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6BD2E69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14E55653" w14:textId="6F3D3C0B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</w:p>
        </w:tc>
      </w:tr>
      <w:tr w:rsidR="00D13AC6" w:rsidRPr="00D13AC6" w14:paraId="76BB0DC2" w14:textId="77777777" w:rsidTr="00E87827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448C9A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val="en-US"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lastRenderedPageBreak/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476D059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określenie i otwarcie wyłącznie wymaganych portów TCP/UDP między sieciami użytkowników a siecią serwerową (ruch wchodzący oraz wychodzący).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7BC68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737CC325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14575DED" w14:textId="1B356025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388799CC" w14:textId="77777777" w:rsidTr="00E8782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10BC25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3B2A543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migracja reguł firewall z obecnie funkcjonującego urządzenia na nowe urządzenie. 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ECF9E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5B3BDBE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226FDD40" w14:textId="69B61F84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424A61EC" w14:textId="77777777" w:rsidTr="00E87827">
        <w:trPr>
          <w:trHeight w:val="6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523EDC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14:paraId="0E655D0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Uruchomienie usługi SSL-VPN dla użytkowników końcowych (65 użytkowników) z uwierzytelnieniem dwu składnikowym opartym o własną bramkę SMS.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AFCEA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3097E47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14:paraId="4E237B9F" w14:textId="0AE3EE03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4C443C" w:rsidRPr="00D13AC6" w14:paraId="755CE824" w14:textId="77777777" w:rsidTr="00E87827">
        <w:trPr>
          <w:trHeight w:val="300"/>
        </w:trPr>
        <w:tc>
          <w:tcPr>
            <w:tcW w:w="520" w:type="dxa"/>
            <w:tcBorders>
              <w:bottom w:val="single" w:sz="4" w:space="0" w:color="auto"/>
            </w:tcBorders>
            <w:shd w:val="clear" w:color="000000" w:fill="E7F6FF"/>
            <w:noWrap/>
            <w:vAlign w:val="center"/>
            <w:hideMark/>
          </w:tcPr>
          <w:p w14:paraId="3A9B6870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000000" w:fill="E7F6FF"/>
            <w:vAlign w:val="center"/>
            <w:hideMark/>
          </w:tcPr>
          <w:p w14:paraId="77025206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Router o następujących minimalnych wymaganiach: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000000" w:fill="E7F6FF"/>
            <w:noWrap/>
            <w:vAlign w:val="center"/>
            <w:hideMark/>
          </w:tcPr>
          <w:p w14:paraId="2F119901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000000" w:fill="E7F6FF"/>
            <w:noWrap/>
            <w:vAlign w:val="center"/>
          </w:tcPr>
          <w:p w14:paraId="512799B3" w14:textId="48F6EFD0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shd w:val="clear" w:color="000000" w:fill="E7F6FF"/>
            <w:noWrap/>
            <w:vAlign w:val="center"/>
          </w:tcPr>
          <w:p w14:paraId="774035CD" w14:textId="652EA182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0DB47047" w14:textId="77777777" w:rsidTr="00E87827">
        <w:trPr>
          <w:trHeight w:val="2430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91D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CE2643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Sprzętowy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firewall'a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zapewniający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funkcje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 SD-Wan,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AntiVirus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,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>WebFilter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val="en-US" w:eastAsia="pl-PL"/>
              </w:rPr>
              <w:t xml:space="preserve">, DNS Filter, Application Control, IPS, SSL Inspection. 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Urządzenie mieszczące się w rozmiarze 1U, posiadające dwa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redundatne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źródła zasilania, dwa porty SFP+, cztery porty SFP, cztery porty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Shared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Media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Pairs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(4SFP/4RJ45), dwanaście niezależnych portów RJ45 oraz dwa porty WAN RJ45. Wydajność urządzenia przy filtrowaniu IPS powinna mieścić się na 2.6Gbps, przy NGFW 1.6Gbps oraz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Threat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</w:t>
            </w:r>
            <w:proofErr w:type="spellStart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Protection</w:t>
            </w:r>
            <w:proofErr w:type="spellEnd"/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 xml:space="preserve"> 1Gbps. Zapewnienie funkcjonalności SSL-VPN z wykorzystaniem oprogramowania klienckiego od producenta z możliwością konfiguracji SAML oraz integracją AAD. Urządzenie musi wspierać możliwość zapewnienia HA (wysokiej dostępności) w wypadku ewentualnej rozbudowy o drugie identyczne urządzenie. Zapewnienie licencji producenta, wsparcia technicznego urządzenia oraz gwarancji na okres trzech lat. Wymagany dowód licencji na wsparcie techniczne w formie papierowej.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3E4C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5E9DB0" w14:textId="6B973FD0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D425A1" w14:textId="445AD481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30E26675" w14:textId="77777777" w:rsidTr="00E8782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0D0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509C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0CA2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67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wartość netto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7651882F" w14:textId="2477FE6F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76E43478" w14:textId="77777777" w:rsidTr="00E8782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56B7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89DDF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FF0000"/>
                <w:kern w:val="0"/>
                <w:lang w:eastAsia="pl-PL"/>
              </w:rPr>
              <w:t>Pozycje zaznaczone na czerwono muszą być wykonane poza godzinami pracy urzędu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435D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FF0000"/>
                <w:kern w:val="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07FA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wartość brutto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3254B659" w14:textId="2A68A325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D13AC6" w:rsidRPr="00D13AC6" w14:paraId="1251CCF0" w14:textId="77777777" w:rsidTr="004C443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CC04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88900" w14:textId="5AE956A2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Wymagamy by wszys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tk</w:t>
            </w:r>
            <w:r w:rsidRPr="00D13AC6">
              <w:rPr>
                <w:rFonts w:eastAsia="Times New Roman" w:cs="Calibri"/>
                <w:color w:val="000000"/>
                <w:kern w:val="0"/>
                <w:lang w:eastAsia="pl-PL"/>
              </w:rPr>
              <w:t>ie elementy były fabrycznie nowe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8CC9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AEF3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4F08" w14:textId="77777777" w:rsidR="00D13AC6" w:rsidRPr="00D13AC6" w:rsidRDefault="00D13AC6" w:rsidP="00D13A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0275669" w14:textId="77777777" w:rsidR="00C117C4" w:rsidRDefault="00C117C4"/>
    <w:sectPr w:rsidR="00C117C4" w:rsidSect="00D13AC6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6"/>
    <w:rsid w:val="000620B4"/>
    <w:rsid w:val="00183EA9"/>
    <w:rsid w:val="00221766"/>
    <w:rsid w:val="003D0135"/>
    <w:rsid w:val="004A2452"/>
    <w:rsid w:val="004C443C"/>
    <w:rsid w:val="0050726B"/>
    <w:rsid w:val="00526C85"/>
    <w:rsid w:val="005F50D5"/>
    <w:rsid w:val="00721F03"/>
    <w:rsid w:val="0072771D"/>
    <w:rsid w:val="007B7B06"/>
    <w:rsid w:val="009E773D"/>
    <w:rsid w:val="00A654E2"/>
    <w:rsid w:val="00B64DA1"/>
    <w:rsid w:val="00C117C4"/>
    <w:rsid w:val="00C944EE"/>
    <w:rsid w:val="00D05507"/>
    <w:rsid w:val="00D13AC6"/>
    <w:rsid w:val="00E87827"/>
    <w:rsid w:val="00F041BB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30EA"/>
  <w15:chartTrackingRefBased/>
  <w15:docId w15:val="{099AA7BD-D48B-454D-9FB4-4E305C2F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83EA9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3AC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3AC6"/>
    <w:rPr>
      <w:color w:val="800080"/>
      <w:u w:val="single"/>
    </w:rPr>
  </w:style>
  <w:style w:type="paragraph" w:customStyle="1" w:styleId="msonormal0">
    <w:name w:val="msonormal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font0">
    <w:name w:val="font0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color w:val="000000"/>
      <w:kern w:val="0"/>
      <w:lang w:eastAsia="pl-PL"/>
    </w:rPr>
  </w:style>
  <w:style w:type="paragraph" w:customStyle="1" w:styleId="font5">
    <w:name w:val="font5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b/>
      <w:bCs/>
      <w:color w:val="000000"/>
      <w:kern w:val="0"/>
      <w:lang w:eastAsia="pl-PL"/>
    </w:rPr>
  </w:style>
  <w:style w:type="paragraph" w:customStyle="1" w:styleId="font6">
    <w:name w:val="font6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color w:val="FF0000"/>
      <w:kern w:val="0"/>
      <w:lang w:eastAsia="pl-PL"/>
    </w:rPr>
  </w:style>
  <w:style w:type="paragraph" w:customStyle="1" w:styleId="font7">
    <w:name w:val="font7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color w:val="000000"/>
      <w:kern w:val="0"/>
      <w:lang w:eastAsia="pl-PL"/>
    </w:rPr>
  </w:style>
  <w:style w:type="paragraph" w:customStyle="1" w:styleId="font8">
    <w:name w:val="font8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b/>
      <w:bCs/>
      <w:i/>
      <w:iCs/>
      <w:color w:val="000000"/>
      <w:kern w:val="0"/>
      <w:lang w:eastAsia="pl-PL"/>
    </w:rPr>
  </w:style>
  <w:style w:type="paragraph" w:customStyle="1" w:styleId="font9">
    <w:name w:val="font9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i/>
      <w:iCs/>
      <w:color w:val="000000"/>
      <w:kern w:val="0"/>
      <w:lang w:eastAsia="pl-PL"/>
    </w:rPr>
  </w:style>
  <w:style w:type="paragraph" w:customStyle="1" w:styleId="xl65">
    <w:name w:val="xl65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6">
    <w:name w:val="xl66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7">
    <w:name w:val="xl67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8">
    <w:name w:val="xl68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</w:rPr>
  </w:style>
  <w:style w:type="paragraph" w:customStyle="1" w:styleId="xl69">
    <w:name w:val="xl69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</w:rPr>
  </w:style>
  <w:style w:type="paragraph" w:customStyle="1" w:styleId="xl70">
    <w:name w:val="xl70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2">
    <w:name w:val="xl72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3">
    <w:name w:val="xl73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</w:rPr>
  </w:style>
  <w:style w:type="paragraph" w:customStyle="1" w:styleId="xl74">
    <w:name w:val="xl74"/>
    <w:basedOn w:val="Normalny"/>
    <w:rsid w:val="00D13AC6"/>
    <w:pPr>
      <w:widowControl/>
      <w:pBdr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</w:rPr>
  </w:style>
  <w:style w:type="paragraph" w:customStyle="1" w:styleId="xl75">
    <w:name w:val="xl75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76">
    <w:name w:val="xl76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77">
    <w:name w:val="xl77"/>
    <w:basedOn w:val="Normalny"/>
    <w:rsid w:val="00D13AC6"/>
    <w:pPr>
      <w:widowControl/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78">
    <w:name w:val="xl78"/>
    <w:basedOn w:val="Normalny"/>
    <w:rsid w:val="00D13AC6"/>
    <w:pPr>
      <w:widowControl/>
      <w:pBdr>
        <w:lef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</w:rPr>
  </w:style>
  <w:style w:type="paragraph" w:customStyle="1" w:styleId="xl79">
    <w:name w:val="xl79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</w:rPr>
  </w:style>
  <w:style w:type="paragraph" w:customStyle="1" w:styleId="xl80">
    <w:name w:val="xl80"/>
    <w:basedOn w:val="Normalny"/>
    <w:rsid w:val="00D13AC6"/>
    <w:pPr>
      <w:widowControl/>
      <w:pBdr>
        <w:lef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1">
    <w:name w:val="xl81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2">
    <w:name w:val="xl82"/>
    <w:basedOn w:val="Normalny"/>
    <w:rsid w:val="00D13AC6"/>
    <w:pPr>
      <w:widowControl/>
      <w:pBdr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3">
    <w:name w:val="xl83"/>
    <w:basedOn w:val="Normalny"/>
    <w:rsid w:val="00D13AC6"/>
    <w:pPr>
      <w:widowControl/>
      <w:pBdr>
        <w:left w:val="single" w:sz="4" w:space="0" w:color="auto"/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4">
    <w:name w:val="xl84"/>
    <w:basedOn w:val="Normalny"/>
    <w:rsid w:val="00D13AC6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5">
    <w:name w:val="xl85"/>
    <w:basedOn w:val="Normalny"/>
    <w:rsid w:val="00D13AC6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6">
    <w:name w:val="xl86"/>
    <w:basedOn w:val="Normalny"/>
    <w:rsid w:val="00D13AC6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7">
    <w:name w:val="xl87"/>
    <w:basedOn w:val="Normalny"/>
    <w:rsid w:val="00D13AC6"/>
    <w:pPr>
      <w:widowControl/>
      <w:pBdr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8">
    <w:name w:val="xl88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89">
    <w:name w:val="xl89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xl90">
    <w:name w:val="xl90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xl91">
    <w:name w:val="xl91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2">
    <w:name w:val="xl92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3">
    <w:name w:val="xl93"/>
    <w:basedOn w:val="Normalny"/>
    <w:rsid w:val="00D13AC6"/>
    <w:pPr>
      <w:widowControl/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4">
    <w:name w:val="xl94"/>
    <w:basedOn w:val="Normalny"/>
    <w:rsid w:val="00D13AC6"/>
    <w:pPr>
      <w:widowControl/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5">
    <w:name w:val="xl95"/>
    <w:basedOn w:val="Normalny"/>
    <w:rsid w:val="00D13AC6"/>
    <w:pPr>
      <w:widowControl/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6">
    <w:name w:val="xl96"/>
    <w:basedOn w:val="Normalny"/>
    <w:rsid w:val="00D13AC6"/>
    <w:pPr>
      <w:widowControl/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7">
    <w:name w:val="xl97"/>
    <w:basedOn w:val="Normalny"/>
    <w:rsid w:val="00D13AC6"/>
    <w:pPr>
      <w:widowControl/>
      <w:pBdr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98">
    <w:name w:val="xl98"/>
    <w:basedOn w:val="Normalny"/>
    <w:rsid w:val="00D13AC6"/>
    <w:pPr>
      <w:widowControl/>
      <w:pBdr>
        <w:left w:val="single" w:sz="4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99">
    <w:name w:val="xl99"/>
    <w:basedOn w:val="Normalny"/>
    <w:rsid w:val="00D13AC6"/>
    <w:pPr>
      <w:widowControl/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0">
    <w:name w:val="xl100"/>
    <w:basedOn w:val="Normalny"/>
    <w:rsid w:val="00D13AC6"/>
    <w:pPr>
      <w:widowControl/>
      <w:shd w:val="clear" w:color="000000" w:fill="E7F6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1">
    <w:name w:val="xl101"/>
    <w:basedOn w:val="Normalny"/>
    <w:rsid w:val="00D13AC6"/>
    <w:pPr>
      <w:widowControl/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2">
    <w:name w:val="xl102"/>
    <w:basedOn w:val="Normalny"/>
    <w:rsid w:val="00D13AC6"/>
    <w:pPr>
      <w:widowControl/>
      <w:pBdr>
        <w:right w:val="single" w:sz="4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3">
    <w:name w:val="xl103"/>
    <w:basedOn w:val="Normalny"/>
    <w:rsid w:val="00D13AC6"/>
    <w:pPr>
      <w:widowControl/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4">
    <w:name w:val="xl104"/>
    <w:basedOn w:val="Normalny"/>
    <w:rsid w:val="00D13AC6"/>
    <w:pPr>
      <w:widowControl/>
      <w:pBdr>
        <w:right w:val="single" w:sz="4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5">
    <w:name w:val="xl105"/>
    <w:basedOn w:val="Normalny"/>
    <w:rsid w:val="00D13AC6"/>
    <w:pPr>
      <w:widowControl/>
      <w:pBdr>
        <w:top w:val="single" w:sz="8" w:space="0" w:color="auto"/>
        <w:left w:val="single" w:sz="4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6">
    <w:name w:val="xl106"/>
    <w:basedOn w:val="Normalny"/>
    <w:rsid w:val="00D13AC6"/>
    <w:pPr>
      <w:widowControl/>
      <w:pBdr>
        <w:top w:val="single" w:sz="8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7">
    <w:name w:val="xl107"/>
    <w:basedOn w:val="Normalny"/>
    <w:rsid w:val="00D13AC6"/>
    <w:pPr>
      <w:widowControl/>
      <w:pBdr>
        <w:top w:val="single" w:sz="8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8">
    <w:name w:val="xl108"/>
    <w:basedOn w:val="Normalny"/>
    <w:rsid w:val="00D13AC6"/>
    <w:pPr>
      <w:widowControl/>
      <w:pBdr>
        <w:top w:val="single" w:sz="8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09">
    <w:name w:val="xl109"/>
    <w:basedOn w:val="Normalny"/>
    <w:rsid w:val="00D13AC6"/>
    <w:pPr>
      <w:widowControl/>
      <w:pBdr>
        <w:top w:val="single" w:sz="8" w:space="0" w:color="auto"/>
        <w:right w:val="single" w:sz="4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0">
    <w:name w:val="xl110"/>
    <w:basedOn w:val="Normalny"/>
    <w:rsid w:val="00D13AC6"/>
    <w:pPr>
      <w:widowControl/>
      <w:pBdr>
        <w:top w:val="single" w:sz="8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1">
    <w:name w:val="xl111"/>
    <w:basedOn w:val="Normalny"/>
    <w:rsid w:val="00D13AC6"/>
    <w:pPr>
      <w:widowControl/>
      <w:pBdr>
        <w:top w:val="single" w:sz="8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2">
    <w:name w:val="xl112"/>
    <w:basedOn w:val="Normalny"/>
    <w:rsid w:val="00D13AC6"/>
    <w:pPr>
      <w:widowControl/>
      <w:pBdr>
        <w:top w:val="single" w:sz="8" w:space="0" w:color="auto"/>
        <w:right w:val="single" w:sz="4" w:space="0" w:color="auto"/>
      </w:pBdr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3">
    <w:name w:val="xl113"/>
    <w:basedOn w:val="Normalny"/>
    <w:rsid w:val="00D13AC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4E2F4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4">
    <w:name w:val="xl114"/>
    <w:basedOn w:val="Normalny"/>
    <w:rsid w:val="00D13AC6"/>
    <w:pPr>
      <w:widowControl/>
      <w:pBdr>
        <w:top w:val="single" w:sz="8" w:space="0" w:color="auto"/>
        <w:bottom w:val="single" w:sz="8" w:space="0" w:color="auto"/>
      </w:pBdr>
      <w:shd w:val="clear" w:color="000000" w:fill="D4E2F4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5">
    <w:name w:val="xl115"/>
    <w:basedOn w:val="Normalny"/>
    <w:rsid w:val="00D13AC6"/>
    <w:pPr>
      <w:widowControl/>
      <w:pBdr>
        <w:top w:val="single" w:sz="8" w:space="0" w:color="auto"/>
        <w:bottom w:val="single" w:sz="8" w:space="0" w:color="auto"/>
      </w:pBdr>
      <w:shd w:val="clear" w:color="000000" w:fill="D4E2F4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6">
    <w:name w:val="xl116"/>
    <w:basedOn w:val="Normalny"/>
    <w:rsid w:val="00D13AC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4E2F4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7">
    <w:name w:val="xl117"/>
    <w:basedOn w:val="Normalny"/>
    <w:rsid w:val="00D13AC6"/>
    <w:pPr>
      <w:widowControl/>
      <w:shd w:val="clear" w:color="000000" w:fill="E7F6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8">
    <w:name w:val="xl118"/>
    <w:basedOn w:val="Normalny"/>
    <w:rsid w:val="00D13AC6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19">
    <w:name w:val="xl119"/>
    <w:basedOn w:val="Normalny"/>
    <w:rsid w:val="00D13AC6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120">
    <w:name w:val="xl120"/>
    <w:basedOn w:val="Normalny"/>
    <w:rsid w:val="00D13AC6"/>
    <w:pPr>
      <w:widowControl/>
      <w:pBdr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21">
    <w:name w:val="xl121"/>
    <w:basedOn w:val="Normalny"/>
    <w:rsid w:val="00D13AC6"/>
    <w:pPr>
      <w:widowControl/>
      <w:pBdr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122">
    <w:name w:val="xl122"/>
    <w:basedOn w:val="Normalny"/>
    <w:rsid w:val="00D13AC6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3632</Words>
  <Characters>21796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dcterms:created xsi:type="dcterms:W3CDTF">2024-08-20T10:29:00Z</dcterms:created>
  <dcterms:modified xsi:type="dcterms:W3CDTF">2024-08-20T11:29:00Z</dcterms:modified>
</cp:coreProperties>
</file>