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D643B6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SR.272.u.28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643B6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D643B6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681ECC">
        <w:rPr>
          <w:b/>
          <w:szCs w:val="20"/>
        </w:rPr>
        <w:t xml:space="preserve"> </w:t>
      </w:r>
      <w:r w:rsidR="00D643B6">
        <w:rPr>
          <w:b/>
          <w:szCs w:val="20"/>
        </w:rPr>
        <w:t>Część nr 2</w:t>
      </w:r>
      <w:r w:rsidR="00291628">
        <w:rPr>
          <w:b/>
          <w:szCs w:val="20"/>
        </w:rPr>
        <w:t>: e</w:t>
      </w:r>
      <w:r w:rsidR="00EA1184">
        <w:rPr>
          <w:b/>
          <w:szCs w:val="20"/>
        </w:rPr>
        <w:t>learningowego</w:t>
      </w:r>
      <w:r w:rsidR="00EA1184" w:rsidRPr="00EA1184">
        <w:rPr>
          <w:b/>
          <w:szCs w:val="20"/>
        </w:rPr>
        <w:t xml:space="preserve"> z dziedziny usług turystycznych oraz gastronomicznych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="00681ECC">
        <w:rPr>
          <w:b/>
          <w:szCs w:val="20"/>
        </w:rPr>
        <w:t xml:space="preserve"> Zespołu Szkół w </w:t>
      </w:r>
      <w:r w:rsidRPr="001B5E92">
        <w:rPr>
          <w:b/>
          <w:szCs w:val="20"/>
        </w:rPr>
        <w:t>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Pr="001B5E92">
        <w:rPr>
          <w:b/>
          <w:szCs w:val="20"/>
        </w:rPr>
        <w:t>RPPM.03.03.01</w:t>
      </w:r>
      <w:r w:rsidR="002522E8">
        <w:rPr>
          <w:b/>
          <w:szCs w:val="20"/>
        </w:rPr>
        <w:t>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</w:t>
      </w:r>
      <w:r w:rsidR="00291628">
        <w:rPr>
          <w:rFonts w:eastAsia="Calibri"/>
          <w:b/>
          <w:bCs/>
          <w:i/>
          <w:iCs/>
        </w:rPr>
        <w:t>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>
        <w:rPr>
          <w:rFonts w:eastAsia="Times New Roman" w:cs="Times New Roman"/>
          <w:bCs/>
          <w:iCs/>
          <w:szCs w:val="20"/>
          <w:lang w:eastAsia="pl-PL"/>
        </w:rPr>
        <w:t>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 xml:space="preserve">Na fakturze powinien znajdować się </w:t>
      </w:r>
      <w:r w:rsidR="00D643B6">
        <w:rPr>
          <w:rFonts w:eastAsia="Times New Roman" w:cs="Times New Roman"/>
          <w:szCs w:val="20"/>
          <w:lang w:eastAsia="pl-PL"/>
        </w:rPr>
        <w:t>data i nazwa umowy</w:t>
      </w:r>
      <w:r w:rsidRPr="00E12215">
        <w:rPr>
          <w:rFonts w:eastAsia="Times New Roman" w:cs="Times New Roman"/>
          <w:szCs w:val="20"/>
          <w:lang w:eastAsia="pl-PL"/>
        </w:rPr>
        <w:t>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D643B6">
        <w:rPr>
          <w:rFonts w:eastAsia="Arial" w:cs="Times New Roman"/>
          <w:bCs/>
          <w:kern w:val="1"/>
          <w:szCs w:val="20"/>
          <w:lang w:eastAsia="zh-CN" w:bidi="hi-IN"/>
        </w:rPr>
        <w:t>do 8</w:t>
      </w:r>
      <w:r w:rsidR="001D556A"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14206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B77181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B77181" w:rsidRPr="00E12215" w:rsidRDefault="00B77181" w:rsidP="003C70C4">
      <w:pPr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81ECC" w:rsidRPr="00E12215" w:rsidRDefault="00681ECC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291628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A8" w:rsidRDefault="00F55BA8">
      <w:pPr>
        <w:spacing w:after="0" w:line="240" w:lineRule="auto"/>
      </w:pPr>
      <w:r>
        <w:separator/>
      </w:r>
    </w:p>
  </w:endnote>
  <w:endnote w:type="continuationSeparator" w:id="0">
    <w:p w:rsidR="00F55BA8" w:rsidRDefault="00F5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2F7E1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7258E1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A8" w:rsidRDefault="00F55BA8">
      <w:pPr>
        <w:spacing w:after="0" w:line="240" w:lineRule="auto"/>
      </w:pPr>
      <w:r>
        <w:separator/>
      </w:r>
    </w:p>
  </w:footnote>
  <w:footnote w:type="continuationSeparator" w:id="0">
    <w:p w:rsidR="00F55BA8" w:rsidRDefault="00F5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2F7E1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58E1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5BA8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AD9C-0EE3-40FC-B8CA-2F2FE0A3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2021-10-05T12:36:00Z</cp:lastPrinted>
  <dcterms:created xsi:type="dcterms:W3CDTF">2021-10-04T18:43:00Z</dcterms:created>
  <dcterms:modified xsi:type="dcterms:W3CDTF">2021-10-06T07:25:00Z</dcterms:modified>
</cp:coreProperties>
</file>