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AB" w:rsidRDefault="005C709A">
      <w:pPr>
        <w:ind w:left="720" w:hanging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SWZ – Opis Przedmiotu Zamówienia</w:t>
      </w:r>
    </w:p>
    <w:p w:rsidR="00C133AB" w:rsidRDefault="00C133AB">
      <w:pPr>
        <w:ind w:left="720" w:hanging="360"/>
        <w:jc w:val="right"/>
        <w:rPr>
          <w:rFonts w:ascii="Times New Roman" w:hAnsi="Times New Roman" w:cs="Times New Roman"/>
        </w:rPr>
      </w:pPr>
    </w:p>
    <w:p w:rsidR="00C133AB" w:rsidRDefault="005C70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Laptop z systemem operacyjnym – 8 szt.</w:t>
      </w:r>
    </w:p>
    <w:p w:rsidR="00C133AB" w:rsidRDefault="00C133A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4900" w:type="pct"/>
        <w:tblInd w:w="1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0"/>
        <w:gridCol w:w="6761"/>
      </w:tblGrid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Cecha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Komputer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Komputer będzie wykorzystywany dla potrzeb aplikacji biurowych, dostępu do Internetu oraz poczty elektronicznej, jako lokalna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baza danych, stacja programistyczna.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Ekran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Matryca TFT, 15,6” z podświetleniem w technologii LED SVA, powłoka antyrefleksyjna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Anti-Glare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rozdzielczość: FHD 1920x1080, 220nits 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Obudowa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Obudowa komputera matowa, zawiasy metalowe. Kąt otwarcia matrycy min.140 stopni. W obudowę wbudowane co najmniej 2 diody sygnalizujące stan naładowania akumulatora oraz pracę dysku twardego.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Dopuszczalne kolory – czarny/srebrny.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Pad (płytka dotykowa)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wbudowana w obudowę notebooka.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Chipset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Dostosowany do zaoferowanego procesora 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Zaprojektowana i wyprodukowana przez producenta komputera wyposażona w interfejs SATA III (6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/s) do obsługi dysków twardych.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komputera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Komputer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wyposażony w procesor minimum Intel i5-1135G7, lub równoważny, przez równoważność rozumie się konfiguracje, które muszą osiągać w teście wydajność: SYSMARK 25 – wynik min. 1200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 test z przeprowadzonej konfiguracji załączyć do oferty.</w:t>
            </w:r>
          </w:p>
          <w:p w:rsidR="00C133AB" w:rsidRDefault="005C709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overcloki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oprogramowania wspomagającego pochodzącego z innego źródła niż fabrycznie zainstalowane oprogramowanie przez producenta, ingerowania w  ustawieniach BIOS ( tzn. wyłączanie urządzeń stanowiących pełną konfigurację) jak również w samym środowisku system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 (tzn. zmniejszanie rozdzielczości, jasności i kontrastu itp.). </w:t>
            </w:r>
          </w:p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Zamawiający zastrzega sobie, iż w uzasadnionych przypadkach w celu sprawdzenia poprawności przeprowadzonych wszystkich wymaganych testów Oferent może być wezwany, aby dostarczyć Zamawiającem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 oprogramowanie testujące, oferowany komputer do testu oraz dokładny opis metodyki przeprowadzonego testu wraz z wynikami w celu ich sprawdzenia w terminie nie dłuższym niż 7 dni od otrzymania zawiadomienia od Zamawiającego.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 16GB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możliwością rozbudowy do 32GB, rodzaj pamięci min. DDR4, 2666MHz. 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500GB SSD M.2 zawierający partycję RECOVERY umożliwiającą odtworzenie systemu operacyjnego fabrycznie zainstalowanego na komputerze po awarii.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Zintegrowan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karta graficzna wykorzystująca pamięć RAM systemu dynamicznie przydzielaną na potrzeby grafiki w trybie UMA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Unified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Memory Access) – z możliwością dynamicznego przydzielenia do 2 GB pamięci.</w:t>
            </w:r>
          </w:p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Karta osiągająca w teście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Sysmark25 wynik min.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pkt. -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test z przeprowadzonej konfiguracji załączyć do oferty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Audio/Video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Wbudowana, zgodna z HD Audio, wbudowane głośniki stereo min 2x 1,5W, wbudowany mikrofon, sterowanie głośnością głośników za pośrednictwem wydzielonych klawiszy funkcyjnych na klaw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iaturze, wydzielony przycisk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funkcyjny do natychmiastowego wyciszania głośników oraz mikrofonu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wbudowana kamera HD720p 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Karta sieciowa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Zintegrowana z płytą główną 10/100/1000 – RJ45 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Porty/złącza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2xUSB 3.1, 1x USB 3.1 typ-C,  złącze słuchawek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złącze mikrofonu typu COMBO, 1xHDMI, RJ-45, 1x zasilanie DC-in, czytnik kart multimedialnych (min SD/SDHC/SDXC)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wyspowa, układ US. Klawiatura z wydzielonym blokiem numerycznym.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karta sieciowa, pracująca w standardzie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 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Wbudowany moduł Bluetooth 5.0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Bateria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Bateria pozwalająca na nieprzerwaną pracę urządzenia minimum 7 godzin -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test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BAPCO MobileMark25 z przeprowadzonej konfiguracji załączyć do oferty.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Zasilacz zewnętrzny 65W 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BIOS 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BIOS zgodny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specyfikacją UEFI.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wersji BIOS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nr seryjnym komputera</w:t>
            </w:r>
          </w:p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ilości pamięci RAM</w:t>
            </w:r>
          </w:p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typie procesora i jego prędkości</w:t>
            </w:r>
          </w:p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-modele zainstalowanych dysków twardych</w:t>
            </w:r>
          </w:p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Administrator z poziomu  BIOS musi mieć możliwość wykonania poniższych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czynnośći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133AB" w:rsidRDefault="005C709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ustawienia hasła dla twardego dysku</w:t>
            </w:r>
          </w:p>
          <w:p w:rsidR="00C133AB" w:rsidRDefault="005C709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ustawienia hasła na starcie komputera tzw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POWER-On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33AB" w:rsidRDefault="005C709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hasła Administratora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użytkowanika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BIOS </w:t>
            </w:r>
          </w:p>
          <w:p w:rsidR="00C133AB" w:rsidRDefault="005C709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Mozliwość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włączania/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wyłaczania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wirutalizacji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poziomu BIOSU</w:t>
            </w:r>
          </w:p>
          <w:p w:rsidR="00C133AB" w:rsidRDefault="005C709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Wyłączania/Włączania: zintegrowanej karty WIFI, portów USB, Tryby PXE dla karty sieciowej,</w:t>
            </w:r>
          </w:p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ustawienia portów USB w trybie „no BOOT”, czyli podczas startu komputer nie wykrywa urządzeń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bootujących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typu USB, natomiast po uruchomieniu systemu operacyjnego porty USB są aktywne.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złącze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Kensington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Lock,</w:t>
            </w:r>
          </w:p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Zintegrowany z płytą główną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dedykowany układ sprzętowy służący do tworzenia i zarządzania wygenerowanymi przez komputer kluczami szyfrowania. Zabezpieczenie to musi posiadać możliwość szyfrowania poufnych dokumentów przechowywanych na dysku twardym przy użyciu klucza sprzętowego (TPM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2.0).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Certyfikat ISO9001:2000 </w:t>
            </w:r>
          </w:p>
          <w:p w:rsidR="00C133AB" w:rsidRDefault="005C709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Deklaracja zgodności 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Waga/Wymiary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Waga urządzenia z baterią podstawową maksymalnie 1,9 kg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 operacyjny –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w formularzu oferty trzeba podać nazwę oferowanego oprogramowania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Windows 11 Profe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ssional 64 bit lub równoważny </w:t>
            </w:r>
          </w:p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Funkcje związane z obsługą komputerów typu tablet, z wbudowanym modułem „uczenia się” pisma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użytkownika – obsługa języka polskiego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Interfejs użytkownika dostępny w wielu językach do wyboru – w tym polskim i angielskim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tworzenia pulpitów wirtualnych, przenoszenia aplikacji pomiędzy pulpitami i przełączanie się pomiędzy pulpitami za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pomocą skrótów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klawiaturowych lub GUI.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Wbudowane w system operacyjny minimum dwie przeglądarki Internetowe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Zintegrowany z systemem moduł wyszukiwania informacji (plików różnego typu, tekstów, metadanych) dostępny z kilku poziomów: poziom menu, poziom otwar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tego okna systemu operacyjnego; system wyszukiwania oparty na konfigurowalnym przez użytkownika module indeksacji zasobów lokalnych,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Zlokalizowane w języku polskim, co najmniej następujące elementy: menu, pomoc, komunikaty systemowe, menedżer plików.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Grafi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czne środowisko instalacji i konfiguracji dostępne w języku polskim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Wbudowany system pomocy w języku polskim.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Możliwość przystosowania stanowiska dla osób niepełnosprawnych (np. słabo widzących).</w:t>
            </w:r>
          </w:p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Możliwość sterowania czasem dostarczania nowych wersji syste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 operacyjnego, możliwość centralnego opóźniania dostarczania nowej wersji o minimum 4 miesiące.</w:t>
            </w:r>
          </w:p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96542343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Klucz produktu przypisany do komputera aby przy ponownej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reinstalacji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systemu nie było konieczności wpisywania klucza.</w:t>
            </w:r>
            <w:bookmarkEnd w:id="0"/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24 letnia gwarancja,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czas reakcji serwisu, do końca następnego dnia roboczego. Gwarancja musi oferować przez cały okres :</w:t>
            </w:r>
          </w:p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opiekę kierownika technicznego ds. Eskalacji</w:t>
            </w:r>
          </w:p>
          <w:p w:rsidR="00C133AB" w:rsidRDefault="005C709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dostępność wsparcia technicznego przez 24 godziny 7 dni w tygodniu przez cały rok (w języku polskim w dni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robocze)</w:t>
            </w:r>
          </w:p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Firma serwisująca musi posiadać ISO 9001:2000 na świadczenie usług serwisowych oraz posiadać autoryzacje producenta komputera.</w:t>
            </w:r>
          </w:p>
          <w:p w:rsidR="00C133AB" w:rsidRDefault="005C7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ofercie należy podać oferowaną długość gwarancji, co stanowi dodatkowe kryterium punktowe!</w:t>
            </w:r>
          </w:p>
        </w:tc>
      </w:tr>
      <w:tr w:rsidR="00C133AB">
        <w:trPr>
          <w:trHeight w:val="2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Inne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Mysz optyczna USB z 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woma przyciskami oraz rolką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</w:tr>
    </w:tbl>
    <w:p w:rsidR="00C133AB" w:rsidRDefault="00C133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33AB" w:rsidRDefault="005C70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Komputer stacjonarny z monitorem i systemem operacyjnym – 9 szt.</w:t>
      </w:r>
    </w:p>
    <w:p w:rsidR="00C133AB" w:rsidRDefault="00C133AB">
      <w:pPr>
        <w:pStyle w:val="Akapitzlist"/>
        <w:rPr>
          <w:rFonts w:ascii="Times New Roman" w:hAnsi="Times New Roman" w:cs="Times New Roman"/>
          <w:b/>
          <w:bCs/>
        </w:rPr>
      </w:pP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804"/>
      </w:tblGrid>
      <w:tr w:rsidR="00C133AB">
        <w:trPr>
          <w:trHeight w:val="2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Cecha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Typ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Komputer stacjonarny. W ofercie wymagane jest podanie modelu, symbolu oraz producenta.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Zastosowanie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Komputer będzie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Wydajność obliczeniowa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Komputer wyposażony w procesor dedykowany do pracy w komputerach stacjonarnych – Intel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i5-11400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lub równoważny, przez równoważność rozumie się konfiguracje, które muszą osiągać w teście wydajność: SYSMARK 25 – wynik min. 1500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 test z przeprowadzonej konf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iguracji załączyć do oferty.</w:t>
            </w:r>
          </w:p>
          <w:p w:rsidR="00C133AB" w:rsidRDefault="005C709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Wymagane testy wydajnościowe wykonawca musi przeprowadzić na automatycznych ustawieniach konfiguratora dołączonego przez firmę BAPCO i przy natywnej rozdzielczości wyświetlacza oraz włączonych wszystkich urządzaniach. Nie dopus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zcza się stosowanie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overclokingu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oprogramowania wspomagającego pochodzącego z innego źródła niż fabrycznie zainstalowane oprogramowanie przez producenta, ingerowania w  ustawieniach BIOS ( tzn. wyłączanie urządzeń stanowiących pełną konfigurację) jak równ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ież w samym środowisku systemu (tzn. zmniejszanie rozdzielczości, jasności i kontrastu itp.). </w:t>
            </w:r>
          </w:p>
          <w:p w:rsidR="00C133AB" w:rsidRDefault="005C70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Zamawiający zastrzega sobie, iż w uzasadnionych przypadkach w celu sprawdzenia poprawności przeprowadzonych wszystkich wymaganych testów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Oferent może być wezwany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aby dostarczyć Zamawiającemu oprogramowanie testujące, oferowany komputer do testu oraz dokładny opis metodyki przeprowadzonego testu wraz z wynikami w celu ich sprawdzenia w terminie nie dłuższym niż 7 dni od otrzymania zawiadomienia od Zamawiającego.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16GB DDR4 3200MHz. Możliwość rozbudowy do min. 128GB. Cztery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sloty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tym jeden slot DIMM wolny.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Pamięć masowa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SSD 512GB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NVMe</w:t>
            </w:r>
            <w:proofErr w:type="spellEnd"/>
          </w:p>
          <w:p w:rsidR="00C133AB" w:rsidRDefault="005C7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Obudowa musi umożliwiać montaż dodatkowego dysku 2.5” lub 3.5”.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Wydajność grafiki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Zintegrowana karta graficzna osiągająca w teście Sysmark25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Creativity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 najmniej 1400 punktów -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wyniki z przeprowadzonego testu załączyć do oferty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Karta dźwiękowa min. czterokanałowa zintegrowana z płytą główną, zgodna z High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Definition. Port słuchawek i mikrofonu na przednim panelu, dopuszcza się rozwiązanie port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combo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na tylnym panelu min. port audio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out.</w:t>
            </w:r>
          </w:p>
        </w:tc>
      </w:tr>
      <w:tr w:rsidR="00C133AB">
        <w:trPr>
          <w:trHeight w:val="4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Obudowa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Typu Small Form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Factor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obsługą kart wyłącznie o niskim profilu. Umożliwiająca montaż 1 x dysku 3.5” lub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 dysku 2.5” wewnątrz obudowy. Napęd optyczny zamontowany w dedykowanej wnęce zewnętrznej 5.25” typu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slim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Obudowa fabrycznie przystosowana do pracy w orientacji poziomej i pionowej. Suma wymiarów obudowy nieprzekraczająca 76 cm.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panelu przednim zamont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owany filtr powietrza chroniący wnętrze przed kurzem, pyłem itp. Filtr demontowany bez użycia narzędzi.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Zasilacz o mocy min. 300W pracujący w sieci 230V 50/60Hz prądu zmiennego i efektywności min. 92% przy obciążeniu zasilacza na poziomie 50% oraz o efekty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wności min. 89% przy obciążeniu zasilacza na poziomie 100%, 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Moduł konstrukcji obudowy w jednostce centralnej komputera powinien pozwalać na demontaż kart rozszerzeń  bez konieczności użycia narzędzi (wyklucza się użycia wkrętów, śrub motylkowych). Obudowa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jednostce centralnej musi być otwierana bez konieczności użycia narzędzi (wyklucza się użycie standardowych wkrętów, śrub motylkowych) oraz powinna posiadać czujnik otwarcia obudowy współpracujący z oprogramowaniem zarządzająco – diagnostycznym. Obudowa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musi umożliwiać zastosowanie zabezpieczenia fizycznego w postaci linki metalowej oraz kłódki (oczko w obudowie do założenia kłódki). Wbudowany wizualny system diagnostyczny oparty o sygnalizację LED np. włącznik POWER, służący do sygnalizowania i diagnozo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wania problemów z komputerem i jego komponentami, sygnalizacja oparta na zmianie statusów diody LED (zmiana barw oraz miganie). System usytuowany na przednim panelu. System diagnostyczny musi sygnalizować: uszkodzenie lub brak pamięci RAM, uszkodzenie płyt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głównej, awarię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BIOS’u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awarię procesora. Oferowany system diagnostyczny nie może wykorzystywać minimalnej ilości wolnych slotów na płycie głównej, wymaganych wnęk zewnętrznych w specyfikacji i dodatkowych oferowanych przez wykonawcę, oraz nie może być 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zyskany przez konwertowanie, przerabianie innych złączy na płycie głównej nie wymienionych w specyfikacji a które nie są dedykowane dla systemu diagnostycznego. Każdy komputer powinien być oznaczony niepowtarzalnym numerem seryjnym umieszczonym na obudowie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oraz musi być wpisany na stałe w BIOS.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Ukryty w laminacie płyty głównej układ sprzętowy służący do tworzenia i zarządzania wygenerowanymi przez komputer kluczami szyfrowania. Zabezpieczenie to musi posiadać możliwość szyfrowania poufnych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dokumentów przechowywanych na dysku twardym przy użyciu klucza sprzętowego.  Próba usunięcia dedykowanego układu doprowadzi do uszkodzenia całej płyty głównej. System diagnostyczny z graficznym interfejsem użytkownika zaszyty w tej samej pamięci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 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IOS, dostępny z poziomu szybkiego menu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boot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BIOS, umożliwiający przetestowanie komputera a w szczególności jego składowych. System zapewniający pełną funkcjonalność, a także zachowujący interfejs graficzny nawet w przypadku braku dysku twardego oraz 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 uszkodzenia, nie wymagający stosowania zewnętrznych nośników pamięci masowej oraz dostępu do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sieci lokalnej.</w:t>
            </w:r>
          </w:p>
          <w:p w:rsidR="00C133AB" w:rsidRDefault="005C7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Procedura POST traktowana jest jako oddzielna funkcjonalność. 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BIOS zgodny ze specyfikacją UEFI, wyprodukowany przez producent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komputera,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zawierający logo lub nazwę producenta komputera lub nazwę modelu oferowanego komputera. Pełna obsługa BIOS za pomocą klawiatury i myszy oraz samej myszy. BIOS wyposażony w automatyczną detekcję zmiany konfiguracji, automatycznie nanoszący zmia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ny w konfiguracji w szczególności: procesor, wielkość pamięci, pojemność dysku. Możliwość, bez uruchamiania systemu operacyjnego z dysku twardego komputera, bez dodatkowego oprogramowania (w tym również systemu diagnostycznego) i podłączonych do niego urzą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dzeń zewnętrznych odczytania z BIOS informacji o: wersji BIOS, nr seryjnym komputera, ilości zainstalowanej pamięci RAM, prędkości zainstalowanych pamięci RAM, technologii wykonania pamięci, sposobie obsadzeniu slotów pamięci z rozbiciem na wielkości pamię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 i banki, typie zainstalowanego procesora, ilości rdzeni zainstalowanego procesora, typowej prędkości zainstalowanego procesora, minimalnej i maksymalnej  osiąganej prędkości zainstalowanego procesora, pojemności zainstalowanego lub zainstalowanych dyskó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twardych, wszystkich urządzeniach podpiętych do dostępnych na płycie głównej portów SATA, MAC adresie zintegrowanej karty sieciowej, zintegrowanym układzie graficznym, kontrolerze audio.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odczytu wskazanych informacji nie mogą być stosowane rozwiązania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oparte o pamięć masową (wewnętrzną lub zewnętrzną), zaimplementowane poza systemem BIOS narzędzia, np. system diagnostyczny, dodatkowe oprogramowanie.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Funkcja blokowania/odblokowania BOOT-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owania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stacji roboczej z zewnętrznych urządzeń, możliwość ustawieni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hasła użytkownika umożliwiającego uruchomienie komputera (zabezpieczenie przed nieautoryzowanym uruchomieniem) przy jednoczesnym zdefiniowanym haśle administratora. Użytkownik po wpisaniu swojego hasła jest wstanie zidentyfikować ustawienia BIOS. Możliwo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ść ustawienia haseł użytkownika i administratora składających się z cyfr, małych liter, dużych liter oraz znaków specjalnych. Możliwość włączenia/wyłączenia kontrolera SATA (w tym w szczególności pojedynczo), Możliwość ustawienia portów USB w trybie „no BO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OT” (podczas startu komputer nie wykrywa urządzeń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bootujących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typu USB). Możliwość wyłączania portów USB pojedynczo. 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dokonywania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backup’u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BIOS wraz z ustawieniami na dysku wewnętrznym. Funkcja włączająca przypomnienie o konieczności oczyszczenia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zastąpienia filtra powietrza w jednej z opcji dostępnych : co 15 dni, co 30 dni, co 60 dni, co 90 dni, co 120 dni, co 150 dni i co 180dni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Oferowany BIOS musi posiadać poza swoją wewnętrzną strukturą menu szybkiego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boot’owania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które umożliwia m.in.: 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uchamianie systemu zainstalowanego na dysku twardym, uruchamianie systemu z urządzeń zewnętrznych, uruchamianie systemu z serwera za pośrednictwem zintegrowanej karty sieciowej, uruchomienie graficznego systemu diagnostycznego, wejście do BIOS,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upgrade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Wirtualizacja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Syste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 operacyjny – w formularzu oferty należy podać pełną nazwę oferowanego oprogramowania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system operacyjny Windows 11 Professional, lub równoważny, klucz licencyjny musi umożliwiać instalację systemu operacyjnego zdalnie bez potrzeby ręcznego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pisywania klucza licencyjnego.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Deklaracja zgodności CE 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Urządzenia muszą być wyprodukowane zgodnie z normą ISO 50001, ISO45001 oraz ISO 9001.</w:t>
            </w:r>
          </w:p>
          <w:p w:rsidR="00C133AB" w:rsidRDefault="00C133AB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Wymagania dodatkowe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Wbudowane porty: 1x HDMI 1.4, 1x VGA, port audio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combo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(słuchawka/mikrofon) na przednim panelu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panelu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1xRJ-45, Wbudowany czytnik kart pamięci SD.</w:t>
            </w:r>
          </w:p>
          <w:p w:rsidR="00C133AB" w:rsidRDefault="005C7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portów USB wyprowadzonych na zewnątrz obudowy: 5x USB 3.2, w tym 1x USB-C, 4x USB Typu A (minimum 3 na panelu przednim)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Wymagana ilość i rozmieszczenie (na zewnąt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rz obudowy komputera) wszystkich portów USB nie może być osiągnięta w wyniku stosowania konwerterów,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przejściówek lub przewodów połączeniowych itp. Zainstalowane porty nie mogą blokować instalacji kart rozszerzeń w złączach wymaganych w opisie płyty główne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j.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Karta sieciowa 10/100/1000 zintegrowana z płytą główną, wspierająca obsługę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WoL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(funkcja włączana przez użytkownika), 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Płyta główna zaprojektowana i wyprodukowana na zlecenie producenta komputera, trwale oznaczona na etapie produkcji logiem producenta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ferowanej jednostki, dedykowana dla danego urządzenia, wyposażona w: 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2x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x16 Gen.3, 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x1, 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1x PCI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4x DIMM z obsługą do 128 GB DDR4 RAM, 2x SATA w tym min. 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SATA 3.0.</w:t>
            </w:r>
          </w:p>
          <w:p w:rsidR="00C133AB" w:rsidRDefault="005C7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Jedno złącze M.2 dla dysków oraz złącze M.2 bezprzewodowej karty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sieciowej.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Klawiatura USB w układzie polski programisty </w:t>
            </w:r>
          </w:p>
          <w:p w:rsidR="00C133AB" w:rsidRDefault="005C7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Mysz optyczna USB z dwoma przyciskami oraz rolką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C133AB" w:rsidRDefault="005C7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Wbudowana nagrywarka DVD +/-RW 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Wsparcie techniczne producenta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Dedykowany portal techniczny producenta, umożliwiający Zamawiającemu zgłasza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nie awarii oraz samodzielne zamawianie zamiennych komponentów. Możliwość sprawdzenia kompletnych danych o urządzeniu na jednej witrynie internetowej prowadzonej przez producenta (automatyczna identyfikacja komputera, konfiguracja fabryczna, konfiguracja bi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eżąca, Rodzaj gwarancji, data wygaśnięcia gwarancji, data produkcji komputera, aktualizacje, diagnostyka, dedykowane oprogramowanie, tworzenie dysku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recovery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systemu operacyjnego).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Min. 24 miesiące gwarancja producenta (dotyczy tylko kom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putera stacjonarnego, bez monitora).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Czas reakcji serwisu - do końca następnego dnia roboczego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Firma serwisująca musi posiadać ISO 9001:2015 na świadczenie usług serwisowych oraz posiadać autoryzacje producenta komputera – dokumenty potwierdzające załączyć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oferty.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Dedykowany portal techniczny producenta, umożliwiający Zamawiającemu zgłaszanie awarii oraz samodzielne zamawianie zamiennych komponentów. 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sprawdzenia kompletnych danych o urządzeniu na jednej witrynie internetowej prowadzonej przez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producenta (automatyczna identyfikacja komputera, aktualizacje, diagnostyka, dedykowane oprogramowanie, tworzenie dysku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recovery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systemu operacyjnego).</w:t>
            </w:r>
          </w:p>
          <w:p w:rsidR="00C133AB" w:rsidRDefault="00C133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ofercie należy podać oferowaną długość gwarancji dla komputera stacjonarnego z systemem operacyjnym (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bez monitora), co stanowi dodatkowe kryterium punktowe!</w:t>
            </w:r>
          </w:p>
        </w:tc>
      </w:tr>
      <w:tr w:rsidR="00C133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Dodatkowe oprogramowanie –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formularzu oferty należy podać pełną nazwę oferowanego oprogramowania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Oprogramowanie zarządzające producenta komputera, instalowane na etapie produkcji komputera, umożliw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iające min.: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powiadamiania o nowych wersjach sterowników i umożliwienie użytkownikowi wykonania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upgrade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systemu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powiadamianie o problemach wydajnościowych i diagnozowanie / rozwiązywanie takich problemów</w:t>
            </w:r>
          </w:p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Oprogramowanie producenta z nieograniczoną licen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cją czasowo na użytkowanie umożliwiające: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upgrade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instalacje wszystkich sterowników, aplikacji dostarczonych w obrazie systemu operacyjnego producenta,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BIOS’u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certyfikatem zgodności producenta do najnowszej dostępnej wersji, 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możliwość przed instalacją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sprawdzenia każdego sterownika, każdej aplikacji,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BIOS’u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bezpośrednio na stronie producenta przy użyciu połączenia internetowego z automatycznym przekierowaniem a w szczególności informacji o:</w:t>
            </w:r>
          </w:p>
          <w:p w:rsidR="00C133AB" w:rsidRDefault="005C709A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poprawkach i usprawnieniach dotyczących aktualizacji</w:t>
            </w:r>
          </w:p>
          <w:p w:rsidR="00C133AB" w:rsidRDefault="005C709A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dacie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wydania ostatniej aktualizacji</w:t>
            </w:r>
          </w:p>
          <w:p w:rsidR="00C133AB" w:rsidRDefault="005C709A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priorytecie aktualizacji</w:t>
            </w:r>
          </w:p>
          <w:p w:rsidR="00C133AB" w:rsidRDefault="005C709A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zgodności z systemami operacyjnymi</w:t>
            </w:r>
          </w:p>
          <w:p w:rsidR="00C133AB" w:rsidRDefault="005C709A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jakiego komponentu sprzętu dotyczy aktualizacja</w:t>
            </w:r>
          </w:p>
          <w:p w:rsidR="00C133AB" w:rsidRDefault="005C709A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wszystkich poprzednich aktualizacjach z informacjami jak powyżej.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wykaz najnowszych aktualizacji z podziałem na kryty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czne (wymagające natychmiastowej instalacji), rekomendowane i opcjonalne</w:t>
            </w:r>
          </w:p>
          <w:p w:rsidR="00C133AB" w:rsidRDefault="005C709A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możliwość włączenia/wyłączenia funkcji automatycznego restartu w przypadku kiedy jest wymagany przy instalacji sterownika, aplikacji która tego wymaga.</w:t>
            </w:r>
          </w:p>
        </w:tc>
      </w:tr>
      <w:tr w:rsidR="00C133AB">
        <w:trPr>
          <w:trHeight w:val="284"/>
        </w:trPr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MONITOR</w:t>
            </w:r>
          </w:p>
        </w:tc>
      </w:tr>
      <w:tr w:rsidR="00C133AB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Cecha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Wymaganie minimalne </w:t>
            </w:r>
          </w:p>
        </w:tc>
      </w:tr>
      <w:tr w:rsidR="00C133AB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Typ ekranu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Ekran ciekłokrystaliczny z aktywną matrycą LED, IPS lub VA 23,8” </w:t>
            </w:r>
          </w:p>
        </w:tc>
      </w:tr>
      <w:tr w:rsidR="00C133AB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Rozdzielczość maksymalna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1920 x 1080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przy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60Hz</w:t>
            </w:r>
          </w:p>
        </w:tc>
      </w:tr>
      <w:tr w:rsidR="00C133AB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Wyświetlane kolory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16.7 milionów</w:t>
            </w:r>
          </w:p>
        </w:tc>
      </w:tr>
      <w:tr w:rsidR="00C133AB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Powłoka powierzchni ekranu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Antyodblaskowa</w:t>
            </w:r>
          </w:p>
        </w:tc>
      </w:tr>
      <w:tr w:rsidR="00C133AB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Podświetlenie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podświetlenia LED</w:t>
            </w:r>
          </w:p>
        </w:tc>
      </w:tr>
      <w:tr w:rsidR="00C133AB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Monitor musi być wyposażony w tzw.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Kensington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Slot</w:t>
            </w:r>
          </w:p>
        </w:tc>
      </w:tr>
      <w:tr w:rsidR="00C133AB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Złącze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Min. dwa złącza do podłączenia komputera w tym min. 1szt. HDMI, 1szt. VGA</w:t>
            </w:r>
          </w:p>
        </w:tc>
      </w:tr>
      <w:tr w:rsidR="00C133AB">
        <w:trPr>
          <w:trHeight w:val="15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Gwarancja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lata gwarancji z czasem reakcji serwisu - do końca następnego dnia roboczeg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</w:p>
          <w:p w:rsidR="00C133AB" w:rsidRDefault="005C709A" w:rsidP="005C709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Firma serwisująca musi posiadać ISO 9001:2000 na świadczenie usług serwisowych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oraz posiadać autoryzacje producenta komputera – dokumenty potwierdzające załączyć do oferty.</w:t>
            </w:r>
          </w:p>
          <w:p w:rsidR="00C133AB" w:rsidRDefault="005C70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Nie stanowi kryterium punktowego.</w:t>
            </w:r>
          </w:p>
        </w:tc>
      </w:tr>
      <w:tr w:rsidR="00C133AB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Redukcja migotania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Flicker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free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Filtr światła niebieskiego </w:t>
            </w:r>
          </w:p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Wbudowane głośniki stereo</w:t>
            </w:r>
          </w:p>
          <w:p w:rsidR="00C133AB" w:rsidRDefault="005C709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Przewód zasilający i przewód HDMI</w:t>
            </w:r>
          </w:p>
        </w:tc>
      </w:tr>
    </w:tbl>
    <w:p w:rsidR="00C133AB" w:rsidRDefault="00C133AB">
      <w:pPr>
        <w:rPr>
          <w:rFonts w:ascii="Times New Roman" w:hAnsi="Times New Roman" w:cs="Times New Roman"/>
          <w:b/>
          <w:bCs/>
        </w:rPr>
      </w:pPr>
    </w:p>
    <w:p w:rsidR="00C133AB" w:rsidRDefault="005C70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Pakiet biurowy – 17 szt.</w:t>
      </w:r>
    </w:p>
    <w:p w:rsidR="00C133AB" w:rsidRDefault="00C133AB">
      <w:pPr>
        <w:pStyle w:val="Akapitzlist"/>
        <w:rPr>
          <w:rFonts w:ascii="Times New Roman" w:hAnsi="Times New Roman" w:cs="Times New Roman"/>
          <w:b/>
          <w:bCs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6941"/>
      </w:tblGrid>
      <w:tr w:rsidR="00C133AB">
        <w:trPr>
          <w:trHeight w:val="23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Cecha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</w:tr>
      <w:tr w:rsidR="00C133AB">
        <w:trPr>
          <w:trHeight w:val="23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Pakiet biurowy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Pakiet Biurowy Microsoft Office Home &amp; Business 2021 lub równoważny Pakiet Biurowy.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równoważny pakiet biurowy rozumie się Pakiet Biurowy, który musi spełniać następujące wymagania poprzez wbudowane mechanizmy, bez użycia dodatkowych aplikacji: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Dostępność pakietu w wersjach 32-bit oraz 64-bit umożliwiającej wykorzystanie ponad 2 GB prze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strzeni adresowej.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Wymagania odnośnie interfejsu użytkownika: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a. Pełna polska wersja językowa interfejsu użytkownika.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Prostota i intuicyjność obsługi, pozwalająca na pracę osobom nieposiadającym umiejętności technicznych.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Do aplikacji pakietu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musi być dostępna pełna dokumentacja w języku polskim.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Pakiet zintegrowanych aplikacji biurowych jednego producenta musi zawierać: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Edytor tekstów.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Arkusz kalkulacyjny.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Narzędzie do przygotowywania i prowadzenia prezentacji.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Narzędzie do zarządzania informacją prywatą (pocztą elektroniczną, kalendarzem, kontaktami i zadaniami).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Edytor tekstów musi umożliwiać: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Edycję i formatowanie tekstu w języku polskim wraz z obsługą języka polskiego w zakresie sprawdzania pisowni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poprawności gramatycznej oraz funkcjonalnością słownika wyrazów bliskoznacznych i autokorekty.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Wstawianie oraz formatowanie tabel.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Wstawianie oraz formatowanie obiektów graficznych.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Wstawianie wykresów i tabel z arkusza kalkulacyjnego (wlicz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ając tabele przestawne).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Automatyczne numerowanie rozdziałów, punktów, akapitów, tabel i rysunków.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Automatyczne tworzenie spisów treści.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Formatowanie nagłówków i stopek stron.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Śledzenie i porównywanie zmian wprowadzonych przez użytkowników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dokumencie.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Nagrywanie, tworzenie i edycję makr automatyzujących wykonywanie czynności.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Określenie układu strony (pionowa/pozioma), niezależnie dla każdej sekcji dokumentu.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 Wydruk dokumentów.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Wykonywanie korespondencji seryjnej bazując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 adresowych pochodzących z arkusza kalkulacyjnego i z narzędzia do zarządzania informacją prywatną.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Arkusz kalkulacyjny musi umożliwiać: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Tworzenie raportów tabelarycznych.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Tworzenie wykresów liniowych (wraz linią trendu), słupkowych, kołowych.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Tworzenie arkuszy kalkulacyjnych zawierających teksty, dane liczbowe oraz formuły przeprowadzające operacje matematyczne, logiczne, tekstowe, statystyczne oraz operacje na danyc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 finansowych i na miarach czasu.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Tworzenie raportów z zewnętrznych źródeł danych (inne arkusze kalkulacyjne, bazy danych zgodne z ODBC, pliki tekstowe, pliki XML).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Obsługę kostek OLAP oraz tworzenie i edycję kwerend bazodanowych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webowych. Narzęd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zia wspomagające analizę statystyczną i finansową, analizę wariantową i rozwiązywanie problemów optymalizacyjnych.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Tworzenie raportów tabeli przestawnych umożliwiających dynamiczną zmianę wymiarów oraz wykresów bazujących na danych z tabeli przestawnyc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Wyszukiwanie i zamianę danych.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Wykonywanie analiz danych przy użyciu formatowania warunkowego.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Nazywanie komórek arkusza i odwoływanie się w formułach po takiej nazwie.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Nagrywanie, tworzenie i edycję makr automatyzujących wykonywanie czynności.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 Formatowanie czasu, daty i wartości finansowych z polskim formatem.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Zapis wielu arkuszy kalkulacyjnych w jednym pliku.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Narzędzie do przygotowywania i prowadzenia pre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zentacji musi umożliwiać: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Przygotowywanie prezentacji multimedialnych, które będą: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Prezentowanie przy użyciu projektora multimedialnego.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Drukowanie w formacie umożliwiającym robienie notatek.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Zapisanie jako prezentacja tylko do odczytu.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Nagrywanie narracji i dołączanie jej do prezentacji.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Opatrywanie slajdów notatkami dla prezentera.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Umieszczanie i formatowanie tekstów, obiektów graficznych, tabel, nagrań dźwiękowych i wideo.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Umieszczanie tabel i wykresów pochodzących z arkus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kalkulacyjnego.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Odświeżenie wykresu znajdującego się w prezentacji po zmianie danych w źródłowym arkuszu kalkulacyjnym.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Możliwość tworzenia animacji obiektów i całych slajdów.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Prowadzenie prezentacji w trybie prezentera, gdzie slajdy są wido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czne na jednym monitorze lub projektorze, a na drugim widoczne są slajdy i notatki prezentera.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Pełna zgodność z formatami plików utworzonych za pomocą oprogramowania MS PowerPoint 2007, MS PowerPoint 2010, 2013, 2016 i 2019.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Narzędzie do zarządzani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informacją prywatną (pocztą elektroniczną, kalendarzem, kontaktami i zadaniami) musi umożliwiać: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Pobieranie i wysyłanie poczty elektronicznej z serwera pocztowego.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Przechowywanie wiadomości na serwerze lub w lokalnym pliku tworzonym z zastosowani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 efektywnej kompresji danych.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Filtrowanie niechcianej poczty elektronicznej (SPAM) oraz określanie listy zablokowanych i bezpiecznych nadawców.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Tworzenie katalogów, pozwalających katalogować pocztę elektroniczną.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Automatyczne grupowanie wiado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mości poczty o tym samym tytule.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Tworzenie reguł przenoszących automatycznie nową pocztę elektroniczną do określonych katalogów bazując na słowach zawartych w tytule, adresie nadawcy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odbiorcy.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Oflagowanie poczty elektronicznej z określeniem terminu przypomnienia, oddzielnie dla nadawcy i adresatów.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Mechanizm ustalania liczby wiadomości, które mają być synchronizowane lokalnie.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Zarządzanie kalendarzem.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Udostępnianie kalendarza inny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użytkownikom z możliwością określania uprawnień użytkowników.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 Przeglądanie kalendarza innych użytkowników. </w:t>
            </w:r>
          </w:p>
          <w:p w:rsidR="00C133AB" w:rsidRDefault="005C709A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Zapraszanie uczestników na spotkanie, co po ich akceptacji powoduje automatyczne wprowadzenie spotkania w ich kalendarzach.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Zarządzanie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listą zadań.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Zlecanie zadań innym użytkownikom.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o. Zarządzanie listą kontaktów.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Udostępnianie listy kontaktów innym użytkownikom.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q. Przeglądanie listy kontaktów innych użytkowników. </w:t>
            </w:r>
          </w:p>
          <w:p w:rsidR="00C133AB" w:rsidRDefault="005C709A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Możliwość przesyłania kontaktów innym użytkowników. </w:t>
            </w:r>
          </w:p>
          <w:p w:rsidR="00C133AB" w:rsidRDefault="005C70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żliwość wykorzystania do komunikacji z serwerem pocztowym mechanizmu MAPI poprzez http.</w:t>
            </w:r>
          </w:p>
        </w:tc>
      </w:tr>
    </w:tbl>
    <w:p w:rsidR="00C133AB" w:rsidRDefault="00C133AB">
      <w:pPr>
        <w:rPr>
          <w:rFonts w:ascii="Times New Roman" w:hAnsi="Times New Roman" w:cs="Times New Roman"/>
          <w:b/>
          <w:bCs/>
        </w:rPr>
      </w:pPr>
    </w:p>
    <w:p w:rsidR="00C133AB" w:rsidRDefault="005C70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Urządzenie wielofunkcyjne A3 – 3 szt.</w:t>
      </w:r>
    </w:p>
    <w:p w:rsidR="00C133AB" w:rsidRDefault="00C133AB">
      <w:pPr>
        <w:pStyle w:val="Akapitzlist"/>
        <w:rPr>
          <w:rFonts w:ascii="Times New Roman" w:hAnsi="Times New Roman" w:cs="Times New Roman"/>
          <w:b/>
          <w:bCs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C133AB">
        <w:trPr>
          <w:trHeight w:val="2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Cecha</w:t>
            </w:r>
          </w:p>
        </w:tc>
        <w:tc>
          <w:tcPr>
            <w:tcW w:w="6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Wymagania minimalne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technologia laserowa, czterobębnowa 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Format oryginału i kopii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A6-A3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Prędkość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drukowania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25 stron A4 / min. w kolorze i mono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Obsługiwane rozdzielczości drukowania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600 x 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1200x1200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wydruku pierwszej strony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kolorowej maks. 9,2 sek., czarno-białej maks. 7 sek.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maks. 18 sek. od włączenia zas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ilania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1 do 9999 kopii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4 GB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Dysk SSD lub HDD 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32 GB SSD, opcjonalnie 1 TB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Zoom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25-400% </w:t>
            </w:r>
          </w:p>
        </w:tc>
      </w:tr>
      <w:tr w:rsidR="00C133AB">
        <w:trPr>
          <w:trHeight w:val="72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Panel operatora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Panel operatora wyposażony w kolorowy ekran dotykowy LCD, o przekątnej min. 10 cali, w języku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polskim. Panel z regulacją kąta nachylenia. Integracja urządzenia z aplikacjami zewnętrznymi poprzez ekran dotykowy urządzenia.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Dupleks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automatyczny, obsługa papieru 60-256 g/m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C133AB">
        <w:trPr>
          <w:trHeight w:val="51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 dokumentów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Skanujący dwustronnie - pojemność tacy podającej min.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 ark. (A4, 80 g/m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C133AB">
        <w:trPr>
          <w:trHeight w:val="54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Podajniki papieru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</w:t>
            </w:r>
            <w:r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podajnik automatyczny min. 2 x 500 ark. (80 g/m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), obsługa papieru 52-300 g/m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 xml:space="preserve"> (w tym min. jeden obsługujący papier formatu A3);</w:t>
            </w:r>
          </w:p>
        </w:tc>
      </w:tr>
      <w:tr w:rsidR="00C133AB">
        <w:trPr>
          <w:trHeight w:val="51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</w:t>
            </w:r>
            <w:r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taca boczna na min. 150 ark. (A4, 80 g/m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 xml:space="preserve">), obsługa papieru A6-A3, 52-300 g/m2   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Odbiór wydruków i kopii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Taca odbiorcza na min. 500 arkuszy (80 g/m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C133AB">
        <w:trPr>
          <w:trHeight w:val="72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Podstawa mobilna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Dedykowana, podstawa producenta urządzenia z katalogu dostępnych fabrycznie opcji, zamykana, na kółkach. Dopasowana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kolorystycznie, wzorniczo i kształtem do obudowy urządzenia.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Język opisu strony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PCL 6, Post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Script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Level 3 (dopuszcza się emulacje)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USB 2.0,  Ethernet 10/100/1000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</w:tr>
      <w:tr w:rsidR="00C133AB">
        <w:trPr>
          <w:trHeight w:val="48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Funkcje skanowania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skanowanie do PC, do e-mail, do FTP, TWAIN (sieciowy), do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pamięci przenośnej USB, WIA, SMB, do skrzynki dokumentów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133AB">
        <w:trPr>
          <w:trHeight w:val="2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kolor: min. 80 str. / min. (300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/A4)</w:t>
            </w:r>
          </w:p>
        </w:tc>
      </w:tr>
      <w:tr w:rsidR="00C133AB">
        <w:trPr>
          <w:trHeight w:val="29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Typy plików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PDF, PDF/A, PDF szyfrowany, PDF kompresowany, JPEG, TIFF, XPS,</w:t>
            </w:r>
          </w:p>
        </w:tc>
      </w:tr>
      <w:tr w:rsidR="00C133AB">
        <w:trPr>
          <w:trHeight w:val="29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Opcjonalnie: PDF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przeszukiwalny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pptx</w:t>
            </w:r>
            <w:proofErr w:type="spellEnd"/>
          </w:p>
        </w:tc>
      </w:tr>
      <w:tr w:rsidR="00C133AB">
        <w:trPr>
          <w:trHeight w:val="48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Wymagania dodatkowe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</w:t>
            </w:r>
            <w:r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Urządzenie wyposażone w funkcję zgłaszania usterek bezpośrednio na panelu dotykowym urządzenia</w:t>
            </w:r>
          </w:p>
        </w:tc>
      </w:tr>
      <w:tr w:rsidR="00C133AB">
        <w:trPr>
          <w:trHeight w:val="48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Materiały eksploatacyjne jako wyposażenie standardowe (dostarczone w komplecie z urządzeniem)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Tonery: w ilości, która zapewni wydrukowanie minimum 100 000 stron czarno-białych A4 (zgodnie z ISO 19798) </w:t>
            </w:r>
          </w:p>
        </w:tc>
      </w:tr>
      <w:tr w:rsidR="00C133AB">
        <w:trPr>
          <w:trHeight w:val="9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Materiały eksploatacyjne (za wyjątkiem tonerów) w ilości, która zapewni wydrukowanie minimum 200 000 stron kolorowych A4. Dostarczone materiały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muszą być nowe i nieużywane, oraz wyprodukowane przez producenta oferowanych urządzeń.</w:t>
            </w:r>
          </w:p>
        </w:tc>
      </w:tr>
      <w:tr w:rsidR="00C133AB">
        <w:trPr>
          <w:trHeight w:val="29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rozbudowy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</w:t>
            </w:r>
            <w:r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Podajnik papieru na min. 3000 ark. (A4, 80 g/m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</w:tr>
      <w:tr w:rsidR="00C133AB">
        <w:trPr>
          <w:trHeight w:val="29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</w:t>
            </w:r>
            <w:r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 xml:space="preserve">Standardowy faks klasy Super G3 </w:t>
            </w:r>
          </w:p>
        </w:tc>
      </w:tr>
      <w:tr w:rsidR="00C133AB">
        <w:trPr>
          <w:trHeight w:val="78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</w:t>
            </w:r>
            <w:r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 xml:space="preserve">Finiszer zszywający, min. 1 taca 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odbiorcza o pojemności min. 4.000 ark. (A4, 80 g/m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), obsługa papieru o wadze 60-300 g/m2 , zszywacz min. 100 ark. (A4, 80 g/m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pl-PL"/>
              </w:rPr>
              <w:t>), funkcja składania i zszywania broszur</w:t>
            </w:r>
          </w:p>
        </w:tc>
      </w:tr>
      <w:tr w:rsidR="00C133AB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Dokumenty</w:t>
            </w:r>
          </w:p>
        </w:tc>
        <w:tc>
          <w:tcPr>
            <w:tcW w:w="6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Symbo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Do oferty dołączyć kartę katalogową proponowanego urządzenia. </w:t>
            </w:r>
          </w:p>
        </w:tc>
      </w:tr>
      <w:tr w:rsidR="00C133AB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Minimum 36 miesięcy.</w:t>
            </w:r>
          </w:p>
        </w:tc>
      </w:tr>
    </w:tbl>
    <w:p w:rsidR="00C133AB" w:rsidRDefault="00C133AB">
      <w:pPr>
        <w:rPr>
          <w:rFonts w:ascii="Times New Roman" w:hAnsi="Times New Roman" w:cs="Times New Roman"/>
          <w:b/>
          <w:bCs/>
        </w:rPr>
      </w:pPr>
    </w:p>
    <w:p w:rsidR="00C133AB" w:rsidRDefault="005C70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Oprogramowanie do backupu danych – 1 szt.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7666"/>
      </w:tblGrid>
      <w:tr w:rsidR="00C133AB">
        <w:trPr>
          <w:trHeight w:val="581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PARAMETRU</w:t>
            </w:r>
          </w:p>
        </w:tc>
        <w:tc>
          <w:tcPr>
            <w:tcW w:w="7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WYMAGANIA MINIMALNE</w:t>
            </w:r>
          </w:p>
        </w:tc>
      </w:tr>
      <w:tr w:rsidR="00C133AB">
        <w:trPr>
          <w:trHeight w:val="1199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7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2" w:name="RANGE!B2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być produktem przeznaczonym do obsługi środowisk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Oferowany produkt musi znajdować się w kwadracie liderów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Gartner Magic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Quadrant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for Data Center Backup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Recovery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Solutions oraz na ogólnie dostępnej liście referencyjnej Gartner: https://www.gartner.com/reviews/market/data-center-backup-and-recovery-solutions i spełniać minimalne wymaganie : - minimalna licz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 referencji 150, - minimalna ocena z referencji 4,5,</w:t>
            </w:r>
            <w:bookmarkEnd w:id="2"/>
          </w:p>
        </w:tc>
      </w:tr>
      <w:tr w:rsidR="00C133AB">
        <w:trPr>
          <w:trHeight w:val="899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współpracować z infrastrukturą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wersji 5.5, 6.0, 6.5, 6.7 and 7.0 oraz Microsoft Hyper-V 2008R2SP1, 2012, 2012 R2 i 2019. Wszystkie funkcjonalności w specyfikacji muszą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być dostępne na wszystkich wspieranych platformach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wirtualizacyjnych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chyba, że wyszczególniono inaczej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współpracować z hostami zarządzanymi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pojedynczymi hostami.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Oprogramowanie musi współpracować 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hostami zarządzanymi przez System Center Virtual Machine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klastrami hostów oraz pojedynczymi hostami.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zapewniać tworzenie kopii zapasowych z sieciowych urządzeń plikowych NAS opartych o SMB, CIFS i/lub NFS oraz bezpośrednio z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erwerów plikowych opartych o Windows i Linux.</w:t>
            </w:r>
          </w:p>
        </w:tc>
      </w:tr>
      <w:tr w:rsidR="00C133AB">
        <w:trPr>
          <w:trHeight w:val="299"/>
        </w:trPr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Całkowite koszty posiadania</w:t>
            </w: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być niezależne sprzętowo i umożliwiać wykorzystanie dowolnej platformy serwerowej i dyskowej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tworzyć “samowystarczalne” archiwa do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odzyskania których nie wymagana jest osobna baza danych z metadanymi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deduplikowanych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bloków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Oprogramowanie musi pozwalać na tworzenie kopii zapasowych w trybach: Pełny, pełny syntetyczny, przyrostowy i odwrotnie przyrostowy (tzw.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reverse-inremental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mieć mechanizmy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deduplikacji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kompresji w celu zmniejszenia wielkości archiwów. Włączenie tych mechanizmów nie może skutkować utratą jakichkolwiek funkcjonalności wymienionych w tej specyfikacji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nie może przechowywać 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anych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deduplikacji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centralnej bazie. Utrata bazy danych używanej przez oprogramowanie nie może prowadzić do utraty możliwości odtworzenia backupu. Metadane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deduplikacji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muszą być przechowywane w plikach backupu.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zapewniać warstwę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abstrakcji nad poszczególnymi urządzeniami pamięci masowej, pozwalając utworzyć jedną wirtualną pulę pamięci na kopie zapasowe. Wymagane jest wsparcie dla nieograniczonej liczby pamięci masowych to takiej puli.</w:t>
            </w:r>
          </w:p>
        </w:tc>
      </w:tr>
      <w:tr w:rsidR="00C133AB">
        <w:trPr>
          <w:trHeight w:val="11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3" w:name="RANGE!B13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pozwalać na rozszerzeni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 lokalnej przestrzeni backupowej poprzez integrację z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Azure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Amazon S3 oraz z innymi kompatybilnymi z S3 macierzami obiektowymi. Proces migracji danych powinien być zautomatyzowany. Jedynie unikalne bloki mogą być przesyłane w celu oszczędn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ości pasma oraz przestrzeni na przechowywane dane. Funkcjonalność ta nie może mieć wpływu na możliwości odtwarzania danych.</w:t>
            </w:r>
            <w:bookmarkEnd w:id="3"/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nie może instalować żadnych stałych agentów wymagających wdrożenia czy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upgradowania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wewnątrz maszyny wirtualnej dla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jakichkolwiek funkcjonalności backupu lub odtwarzania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mieć możliwość uruchamiania dowolnych skryptów przed i po zadaniu backupowym lub przed i po wykonaniu zadania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snapshota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oferować portal samoobsługowy,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umożliwiający odtwarzanie użytkownikom wirtualnych maszyn, obiektów MS Exchange i baz danych MS SQL oraz Oracle (w tym odtwarzanie point-in-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zapewniać możliwość delegacji uprawnień do odtwarzania na portalu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mieć możliwość integracji z innymi systemami poprzez wbudowane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RESTful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API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mieć wbudowane mechanizmy backupu konfiguracji w celu prostego odtworzenia systemu po całkowitej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reinstalacji</w:t>
            </w:r>
            <w:proofErr w:type="spellEnd"/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mieć wbudowane mechanizmy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zyfrowania zarówno plików z backupami jak i transmisji sieciowej. Włączenie szyfrowania nie może skutkować utratą jakiejkolwiek funkcjonalności wymienionej w tej specyfikacji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posiadać mechanizmy chroniące przed utratą hasła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szyfrowania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wspierać backup maszyn wirtualnych używających współdzielonych dysków VHDX na Hyper-V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shared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VHDX)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posiadać architekturę klient/serwer z możliwością instalacji wielu instancji konsoli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administracyjnych.</w:t>
            </w:r>
          </w:p>
        </w:tc>
      </w:tr>
      <w:tr w:rsidR="00C133AB">
        <w:trPr>
          <w:trHeight w:val="599"/>
        </w:trPr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Wymagania RPO</w:t>
            </w: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wykorzystywać mechanizmy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Block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Tracking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wszystkich wspieranych platformach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wirtualizacyjnych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Mechanizmy muszą być certyfikowane przez dostawcę platformy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wirtualizacyjnej</w:t>
            </w:r>
            <w:proofErr w:type="spellEnd"/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wykorzystywanać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mechnizmy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śledzenia zmienionych plików przy zabezpieczaniu udziałów plikowych.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oferować możliwość sterowania obciążeniem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storage'u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produkcyjnego tak aby nie przekraczane były skonfigurowane przez administratora backup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 poziomy latencji. Funkcjonalność ta musi być dostępna na wszystkich wspieranych platformach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wirtualizacyjnych</w:t>
            </w:r>
            <w:proofErr w:type="spellEnd"/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oferować ten mechanizm z dokładnością do pojedynczego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datastoru</w:t>
            </w:r>
            <w:proofErr w:type="spellEnd"/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automatycznie wykrywać i usuwać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snapshoty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-sieroty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orphaned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snapshots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), które mogą zakłócić poprawne wykonanie backupu. Proces ten nie może wymagać interakcji administratora</w:t>
            </w:r>
          </w:p>
        </w:tc>
      </w:tr>
      <w:tr w:rsidR="00C133AB">
        <w:trPr>
          <w:trHeight w:val="11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zapewniać tworzenie kopii zapasowych z bezpośrednim wykorzystaniem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snapshotów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macierzowych.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Musi też zapewniać odtwarzanie maszyn wirtualnych z takich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snapshotów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Proces wykonania kopii zapasowej nie może wymagać użycia jakichkolwiek hostów tymczasowych. Opisana funkcjonalność powinna działać w środowisku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być dostępna dla następujących 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acierzy: HPE, Dell EMC,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NetApp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Cisco, IBM, Lenovo, Fujitsu,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Huawei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INFINIDAT,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Storage.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posiadać wsparcie dla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potwierdzone odpowiednią certyfikacją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wspierać kopiowanie backupów na taśmy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wraz z pełnym śledzeniem wirtualnych maszyn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4" w:name="RANGE!B32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posiadać wsparcie dla NDMP</w:t>
            </w:r>
            <w:bookmarkEnd w:id="4"/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mieć możliwość tworzenia retencji GFS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Grandfather-Father-Son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umieć korzystać z protokołu DDBOOST w przypadku, gdy rep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ozytorium backupów jest umiejscowione na Dell EMC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DataDomain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Funkcjonalność powinna wspierać łącze sieciowe lub FC.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umieć korzystać z protokołu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Catalyst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(w tym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Catalyst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Copy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w przypadku, gdy repozytorium backupów jest umiejscowione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 HPE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StoreOnce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Funkcjonalność powinna wspierać łącze sieciowe lub FC.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wspierać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BlockClone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API w przypadku użycia Windows Server 2016 lub 2019 z systemem pliku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jako repozytorium backupu. Podobna funkcjonalność musi być zapewnio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 dla repozytoriów opartych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linuxowy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system plików XFS.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Repozytoria oparte o XFS muszą pozwalać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zmiezmienność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danych przez określoną ilość czasu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Immutability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mieć możliwość kopiowania backupów oraz replikacji wirtualnych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maszyn z wykorzystaniem wbudowanej akceleracji WAN.</w:t>
            </w:r>
          </w:p>
        </w:tc>
      </w:tr>
      <w:tr w:rsidR="00C133AB">
        <w:trPr>
          <w:trHeight w:val="8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mieć możliwość replikacji asynchronicznej włączonych wirtualnych maszyn bezpośrednio z infrastruktury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vSphere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pomiędzy hostami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ESXi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pomiędzy hostami Hyper-V. Dodatkowo 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programowanie musi mieć możliwość użycia plików kopii zapasowych jako źródła replikacji.</w:t>
            </w:r>
          </w:p>
        </w:tc>
      </w:tr>
      <w:tr w:rsidR="00C133AB">
        <w:trPr>
          <w:trHeight w:val="8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mieć możliwość replikacji ciągłej, opartej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VAIO, włączonych wirtualnych maszyn bezpośrednio z infrastruktury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vSphere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Dla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replikacji ciągłej musi być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zdefiniowania dziennika pozwalającego na odzyskanie danych z dowolnego punku w ramach ustalonego parametru RPO.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umożliwiać przechowywanie punktów przywracania dla replik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umożliwiać wykorzystanie istniejących w infrastrukturze wirtualnych maszyn jako źródła do dalszej replikacji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replica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seeding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wykorzystywać wszystkie oferowane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hypervisor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tryby transportu (sieć, hot-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LAN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-SAN)</w:t>
            </w:r>
          </w:p>
        </w:tc>
      </w:tr>
      <w:tr w:rsidR="00C133AB">
        <w:trPr>
          <w:trHeight w:val="899"/>
        </w:trPr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RTO</w:t>
            </w: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umożliwiać jednoczesne uruchomienie wielu maszyn wirtualnych bezpośrednio 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zdeduplikowanego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skompresowanego pliku backupu, z dowolnego punktu przywracania, bez potrzeby kopiowania jej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storage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produkcyjny. Funkcjonalność mus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 być oferowana dla środowisk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Hyper-V niezależnie od rodzaju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storage’u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użytego do przechowywania kopii zapasowych.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Dodatkowo dla środowiska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vSphere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Hyper-V powyższa funkcjonalność powinna umożliwiać uruchomianie backupu z innych platform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(inne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wirtualizatory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maszyny fizyczne oraz chmura publiczna)</w:t>
            </w:r>
          </w:p>
        </w:tc>
      </w:tr>
      <w:tr w:rsidR="00C133AB">
        <w:trPr>
          <w:trHeight w:val="8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pozwalać na migrację on-line tak uruchomionych maszyn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storage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produkcyjny. Migracja powinna odbywać się mechanizmami wbudowanymi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hypervisor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Jeżeli licencja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hypervi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nie posiada takich funkcjonalności - oprogramowanie musi realizować taką migrację swoimi mechanizmami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pozwalać na zaprezentowanie pojedynczego dysku bezpośrednio z kopii zapasowej do wybranej działającej maszyny wirtualnej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vSpehre</w:t>
            </w:r>
            <w:proofErr w:type="spellEnd"/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umożliwiać pełne odtworzenie wirtualnej maszyny, plików konfiguracji i dysków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umożliwiać pełne odtworzenie wirtualnej maszyny bezpośrednio do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Azure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Azure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Amazon EC2.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mieć możliwość odtworzenia plików bezpośrednio do maszyny wirtualnej poprzez sieć, przy pomocy VIX API dla platformy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PowerShell Direct dla platformy Hyper-V.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wspierać odtwarzanie pojedynczych plików z nast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ępujących systemów plików: 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  <w:lang w:eastAsia="pl-PL"/>
              </w:rPr>
              <w:t xml:space="preserve">Linux: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ext2, ext3, ext4,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ReiserFS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JFS, XFS,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Btrfs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  <w:lang w:eastAsia="pl-PL"/>
              </w:rPr>
              <w:t xml:space="preserve">BSD: UFS, UFS2 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  <w:lang w:eastAsia="pl-PL"/>
              </w:rPr>
              <w:t xml:space="preserve">Solaris: ZFS, UFS 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  <w:lang w:eastAsia="pl-PL"/>
              </w:rPr>
              <w:t xml:space="preserve">Mac: HFS, HFS+ 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  <w:lang w:eastAsia="pl-PL"/>
              </w:rPr>
              <w:t xml:space="preserve">Windows: NTFS, FAT, FAT32,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  <w:lang w:eastAsia="pl-PL"/>
              </w:rPr>
              <w:t>ReFS</w:t>
            </w:r>
            <w:proofErr w:type="spellEnd"/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    </w:t>
            </w:r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  <w:lang w:eastAsia="pl-PL"/>
              </w:rPr>
              <w:t>Novell OES: NSS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wspierać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przywracanie plików z partycji Linux LVM oraz Windows Storage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Spaces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umożliwiać szybkie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granularne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odtwarzanie obiektów aplikacji bez użycia jakiegokolwiek agenta zainstalowanego wewnątrz maszyny wirtualnej.</w:t>
            </w:r>
          </w:p>
        </w:tc>
      </w:tr>
      <w:tr w:rsidR="00C133AB">
        <w:trPr>
          <w:trHeight w:val="641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wspierać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granularne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odtwarzanie obiektów Active Directory takich jak konta komputerów, konta użytkowników oraz pozwalać na odtworzenie haseł.</w:t>
            </w:r>
          </w:p>
        </w:tc>
      </w:tr>
      <w:tr w:rsidR="00C133AB">
        <w:trPr>
          <w:trHeight w:val="641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wspierać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granularne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odtwarzanie dowolnych atrybutów, rekordów DNS zintegrowanych z AD, Micro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soft System Objects, certyfikatów CA oraz elementów 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wspierać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granularne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odtwarzanie Microsoft Exchange 2010 i nowszych (dowolny obiekt w tym obiekty w folderze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Permanently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Deleted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Objects"),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wspierać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przywracanie danych Exchange do oryginalnego środowiska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wspierać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granularne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odtwarzanie Microsoft SQL 2005 i nowszych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wspierać odtworzenie point-in-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wraz z możliwością przywrócenia bazy do oryginalnego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wspierać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granularne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odtwarzanie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Sharepoint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2010 i nowszych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wspierać odtworzenia elementów, witryn, uprawnień dla witryn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Sharepoint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wspierać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granularne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odtwarzanie baz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danych Oracle z opcją odtwarzanie point-in-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wraz z włączonym Oracle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DataGuard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Funkcjonalność ta musi być dostępna dla baz uruchomionych w środowiskach Windows oraz Linux.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pozwalać na zaprezentowanie oraz migrację online baz MS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SQL oraz Oracle bezpośrednio z pliku kopii zapasowej do działającego serwera bazodanowego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posiadać natywną integrację dla backupów wykonywanych poprzez Oracle RMAN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posiadać natywną integrację dla backupów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wykonywanych poprzez SAP HANA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wspierać także specyficzne metody odtwarzania w tym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reverse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CBT" oraz odtwarzanie z wykorzystaniem sieci SAN</w:t>
            </w:r>
          </w:p>
        </w:tc>
      </w:tr>
      <w:tr w:rsidR="00C133AB">
        <w:trPr>
          <w:trHeight w:val="599"/>
        </w:trPr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Ograniczenia ryzyka</w:t>
            </w: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dawać możliwość stworzenia laboratorium (izolowane śr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odowisko) dla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vSphere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Hyper-V używając wirtualnych maszyn uruchamianych bezpośrednio z plików backupu.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VMware’a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oprogramowanie musi pozwalać na uruchomienie takiego środowiska bezpośrednio 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snapshotów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macierzowych stworzonych na wspieranych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urządzeniach.</w:t>
            </w:r>
          </w:p>
        </w:tc>
      </w:tr>
      <w:tr w:rsidR="00C133AB">
        <w:trPr>
          <w:trHeight w:val="8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musi umożliwiać weryfikację odtwarzalności wielu wirtualnych maszyn jednocześnie z dowolnego backupu według własnego harmonogramu w izolowanym środowisku. Testy powinny uwzględniać możliwość uruchomienia dowolnego skryptu tes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tującego również aplikację uruchomioną na wirtualnej maszynie. Testy muszą być przeprowadzone bez interakcji z administratorem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mieć podobne mechanizmy dla replik w środowisku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vSphere</w:t>
            </w:r>
            <w:proofErr w:type="spellEnd"/>
          </w:p>
        </w:tc>
      </w:tr>
      <w:tr w:rsidR="00C133AB">
        <w:trPr>
          <w:trHeight w:val="8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umożliwiać integrację 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oprogramowaniem antywirusowym w celu wykonania skanu zawartości pliku backupowego przed odtworzeniem jakichkolwiek danych. Integracja musi być zapewniona minimalnie dla Windows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Defender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Symantec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Protection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Engine oraz ESET NOD32.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Oprogramowanie musi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umożliwiać dwuetapowe, automatyczne, odtwarzanie maszyn wirtualnych z możliwością wstrzyknięcia dowolnego skryptu przed odtworzeniem danych do środowiska produkcyjnego.</w:t>
            </w:r>
          </w:p>
        </w:tc>
      </w:tr>
      <w:tr w:rsidR="00C133AB">
        <w:trPr>
          <w:trHeight w:val="599"/>
        </w:trPr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Monitoring</w:t>
            </w: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zapewnić możliwość monitorowania środowiska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wirtualizacyjnego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opartego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vSphere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Microsoft Hyper-V bez potrzeby korzystania z narzędzi firm trzecich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umożliwiać monitorowanie środowiska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wirtualizacyjnego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wersji 5.5, 6.0, 6.5, 6.7 and 7.0 – zarówno w bezpłatnej wersji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ESXi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jak i w pełne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 wersji ESX/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ESXi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zarządzane przez konsole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Server lub pracujące samodzielnie</w:t>
            </w:r>
          </w:p>
        </w:tc>
      </w:tr>
      <w:tr w:rsidR="00C133AB">
        <w:trPr>
          <w:trHeight w:val="8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umożliwiać monitorowanie środowiska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wirtualizacyjnego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Microsoft Hyper-V 2008 R2 SP1, 2012, 2012 R2, 2016 oraz 2019 zarówno w wersji darmowej jak i zawartej 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płatnej licencji Microsoft Windows Server zarządzane poprzez System Center Virtual Machine Manager lub pracujące samodzielnie.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mieć status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” i być przetestowany i certyfikowany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umożliwiać kategoryzacje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obiektów infrastruktury wirtualnej niezależnie od hierarchii stworzonej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vCenter</w:t>
            </w:r>
            <w:proofErr w:type="spellEnd"/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umożliwiać tworzenie alarmów dla całych grup wirtualnych maszyn jak i pojedynczych wirtualnych maszyn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dawać możliwość układania terminarza raport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ów i wysyłania tych raportów przy pomocy poczty elektronicznej w formacie HTML oraz Excel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dawać możliwość podłączenia się do kilku instancji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Server i serwerów Hyper-V jednocześnie, w celu centralnego monitorowania wielu środowisk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mieć wbudowane predefiniowane zestawy alarmów wraz z możliwością tworzenia własnych alarmów i zdarzeń przez administratora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mieć wbudowane połączenie z bazą wiedzy opisującą problemy z predefiniowanych alarmów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mieć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centralną konsolę z sumarycznym podglądem wszystkich obiektów infrastruktury wirtualnej (ang. Dashboard)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mieć możliwość monitorowania platformy sprzętowej, na której jest zainstalowana infrastruktura wirtualna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zapewnić możliwość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podłączenia się do wirtualnej maszyny (tryb konsoli) bezpośrednio z narzędzia monitorującego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mieć możliwość integracji z oprogramowaniem do tworzenia kopii zapasowych tego samego producenta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mieć możliwość monitorowania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obciążenia serwerów backupowych, ilości zabezpieczanych danych oraz statusu zadań kopii zapasowych, replikacji oraz weryfikacji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odzyskiwalności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maszyn wirtualnych.</w:t>
            </w:r>
          </w:p>
        </w:tc>
      </w:tr>
      <w:tr w:rsidR="00C133AB">
        <w:trPr>
          <w:trHeight w:val="8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oferować inteligentną diagnostykę rozwiązania backupowego poprzez monitorowani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 logów celem wykrycia znanych problemów oraz błędów konfiguracyjnych w celu wskazania rozwiązania bez potrzeby otwierania zgłoszenia suportowego oraz bez potrzeby wysyłania jakichkolwiek danych diagnostycznych do producenta oprogramowania backupu.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 musi mieć możliwość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granularnego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monitorowania infrastruktury, zależnego od uprawnień nadanym użytkownikom dla platformy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mieć możliwość monitorowania instancji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vCloud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Director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wersji 8.x i 9.x</w:t>
            </w:r>
          </w:p>
        </w:tc>
      </w:tr>
      <w:tr w:rsidR="00C133AB">
        <w:trPr>
          <w:trHeight w:val="599"/>
        </w:trPr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AB" w:rsidRDefault="005C7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Raportowanie</w:t>
            </w: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raportowania musi umożliwić tworzenie raportów z infrastruktury wirtualnej bazującej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ESX/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ESXi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5.5, 6.0, 6.5, 6.7 and 7.0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Server 5.x oraz 6.x jak również Microsoft Hyper-V 2008 R2 SP1, 2012, 2012 R2, 2016 oraz 2019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wspierać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wiele instancji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Server i Microsoft Hyper-V jednocześnie bez konieczności instalowania dodatkowych modułów.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być certyfikowany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posiadać status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być systemem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bezagentowym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Nie dopuszcza się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możliwości instalowania przez system agentów na monitorowanych hostach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ESXi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Hyper-V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mieć możliwość eksportowania raportów do formatów Microsoft Word, Microsoft Excel, Microsoft Visio, Adobe PDF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mieć możliwość ustawienia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harmonogramu kolekcji danych z monitorowanych systemów jak również możliwość tworzenia zadań kolekcjonowania danych ad-hoc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mieć możliwość ustawienia harmonogramu generowania raportów i dostarczania ich do odbiorców w określonych przez adminis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tratora interwałach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w raportach musi mieć możliwość uwzględniania informacji o zmianach konfiguracji monitorowanych systemów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mieć możliwość generowania raportów z dowolnego punktu w czasie zakładając, że informacje z tego czasu nie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zostały usunięte z bazy danych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posiadać predefiniowane szablony z możliwością tworzenia nowych jak i modyfikacji wbudowanych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mieć możliwość analizowania „przeszacowanych” wirtualnych maszyn wraz z sugestią zmian w celu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optymalnego wykorzystania fizycznej infrastruktury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mieć możliwość generowania raportów na podstawie danych uzyskanych z oprogramowania do tworzenia kopii zapasowych tego samego producenta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mieć możliwość generowania raportu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dotyczącego zabezpieczanych maszyn, zdefiniowanych zadań tworzenia kopii zapasowych oraz replikacji jak również wykorzystania zasobów serwerów backupowych.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mieć możliwość generowania raportu planowania pojemności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capacity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bazująceg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na scenariuszach ‘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what-if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’.</w:t>
            </w:r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mieć możliwość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granularnego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raportowania infrastruktury, zależnego od uprawnień nadanym użytkownikom dla platformy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</w:p>
        </w:tc>
      </w:tr>
      <w:tr w:rsidR="00C133AB">
        <w:trPr>
          <w:trHeight w:val="2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musi mieć możliwość generowania raportów dotyczących tzw. migawek-sierot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orphaned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snapshots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C133AB">
        <w:trPr>
          <w:trHeight w:val="599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C1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musi mieć możliwość generowania personalizowanych raportów zawierających informacje z dowolnych predefiniowanych raportów w pojedynczym dokumencie</w:t>
            </w:r>
          </w:p>
        </w:tc>
      </w:tr>
      <w:tr w:rsidR="00C133AB">
        <w:trPr>
          <w:trHeight w:val="599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Szkolenie</w:t>
            </w:r>
          </w:p>
        </w:tc>
        <w:tc>
          <w:tcPr>
            <w:tcW w:w="7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Obowiązkiem Wykonawcy będzie wystawienie vouchera na okaziciela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(jednego, wskazanego przez Zamawiającego pracownika Gminy Pacanów), ważnego co najmniej przez rok, od daty wystawienia, na autoryzowane szkolenie z zaoferowanego oprogramowania do backupu danych, zakończone egzaminem certyfikującym producenta, lub autoryzo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wanego przez producenta podmiotu.</w:t>
            </w:r>
          </w:p>
        </w:tc>
      </w:tr>
      <w:tr w:rsidR="00C133AB">
        <w:trPr>
          <w:trHeight w:val="599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AB" w:rsidRDefault="005C7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Licencja</w:t>
            </w:r>
          </w:p>
        </w:tc>
        <w:tc>
          <w:tcPr>
            <w:tcW w:w="7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3AB" w:rsidRDefault="005C70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Licencja wieczysta, ze wsparciem na okres 36 miesięcy dla co najmniej 2 maszyn wirtualnych i 40 stacji roboczych.</w:t>
            </w:r>
          </w:p>
        </w:tc>
      </w:tr>
    </w:tbl>
    <w:p w:rsidR="00C133AB" w:rsidRDefault="00C133AB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C133AB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709A">
      <w:pPr>
        <w:spacing w:after="0" w:line="240" w:lineRule="auto"/>
      </w:pPr>
      <w:r>
        <w:separator/>
      </w:r>
    </w:p>
  </w:endnote>
  <w:endnote w:type="continuationSeparator" w:id="0">
    <w:p w:rsidR="00000000" w:rsidRDefault="005C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709A">
      <w:pPr>
        <w:spacing w:after="0" w:line="240" w:lineRule="auto"/>
      </w:pPr>
      <w:r>
        <w:separator/>
      </w:r>
    </w:p>
  </w:footnote>
  <w:footnote w:type="continuationSeparator" w:id="0">
    <w:p w:rsidR="00000000" w:rsidRDefault="005C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AB" w:rsidRDefault="005C709A">
    <w:pPr>
      <w:pStyle w:val="Nagwek"/>
    </w:pPr>
    <w:r>
      <w:rPr>
        <w:noProof/>
        <w:lang w:eastAsia="pl-PL"/>
      </w:rPr>
      <w:drawing>
        <wp:anchor distT="0" distB="0" distL="0" distR="0" simplePos="0" relativeHeight="17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5759450" cy="666750"/>
          <wp:effectExtent l="0" t="0" r="0" b="0"/>
          <wp:wrapSquare wrapText="largest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25F4"/>
    <w:multiLevelType w:val="multilevel"/>
    <w:tmpl w:val="7DF233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5967E8"/>
    <w:multiLevelType w:val="multilevel"/>
    <w:tmpl w:val="05FE40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A177DC"/>
    <w:multiLevelType w:val="multilevel"/>
    <w:tmpl w:val="F634D9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E98032C"/>
    <w:multiLevelType w:val="multilevel"/>
    <w:tmpl w:val="D512D34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4430749"/>
    <w:multiLevelType w:val="multilevel"/>
    <w:tmpl w:val="3550B0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C071C7"/>
    <w:multiLevelType w:val="multilevel"/>
    <w:tmpl w:val="4C269BA6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AB"/>
    <w:rsid w:val="005C709A"/>
    <w:rsid w:val="00C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4C50F-2B28-4EB1-94E3-196341EC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5519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5519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5519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D0189"/>
  </w:style>
  <w:style w:type="character" w:customStyle="1" w:styleId="NagwekZnak">
    <w:name w:val="Nagłówek Znak"/>
    <w:basedOn w:val="Domylnaczcionkaakapitu"/>
    <w:link w:val="Nagwek"/>
    <w:uiPriority w:val="99"/>
    <w:qFormat/>
    <w:rsid w:val="00DB051D"/>
  </w:style>
  <w:style w:type="character" w:customStyle="1" w:styleId="StopkaZnak">
    <w:name w:val="Stopka Znak"/>
    <w:basedOn w:val="Domylnaczcionkaakapitu"/>
    <w:link w:val="Stopka"/>
    <w:uiPriority w:val="99"/>
    <w:qFormat/>
    <w:rsid w:val="00DB051D"/>
  </w:style>
  <w:style w:type="paragraph" w:styleId="Nagwek">
    <w:name w:val="header"/>
    <w:basedOn w:val="Normalny"/>
    <w:next w:val="Tekstpodstawowy"/>
    <w:link w:val="NagwekZnak"/>
    <w:uiPriority w:val="99"/>
    <w:unhideWhenUsed/>
    <w:rsid w:val="00DB051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A7217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5519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55190"/>
    <w:rPr>
      <w:b/>
      <w:bCs/>
    </w:rPr>
  </w:style>
  <w:style w:type="paragraph" w:customStyle="1" w:styleId="Default">
    <w:name w:val="Default"/>
    <w:qFormat/>
    <w:rsid w:val="000A293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051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C2EF-40AF-4BDD-AA42-45AC3C28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7020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Szelc</dc:creator>
  <dc:description/>
  <cp:lastModifiedBy>RADCAPRAWNY</cp:lastModifiedBy>
  <cp:revision>2</cp:revision>
  <dcterms:created xsi:type="dcterms:W3CDTF">2022-07-13T06:43:00Z</dcterms:created>
  <dcterms:modified xsi:type="dcterms:W3CDTF">2022-07-13T06:43:00Z</dcterms:modified>
  <dc:language>pl-PL</dc:language>
</cp:coreProperties>
</file>