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ZPA.271.15.2022</w:t>
      </w:r>
      <w:r>
        <w:rPr>
          <w:rFonts w:cs="Arial"/>
          <w:kern w:val="2"/>
        </w:rPr>
        <w:t xml:space="preserve">                                                                                    Włodawa  dnia 04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.11.2022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8"/>
          <w:szCs w:val="28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240"/>
        <w:ind w:left="735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283" w:right="0" w:hanging="283"/>
        <w:jc w:val="both"/>
        <w:rPr>
          <w:rFonts w:ascii="Arial" w:hAnsi="Arial" w:cs="Arial"/>
          <w:b/>
          <w:b/>
          <w:bCs/>
          <w:i/>
          <w:i/>
          <w:iCs/>
        </w:rPr>
      </w:pPr>
      <w:r>
        <w:rPr>
          <w:rStyle w:val="Domylnaczcionkaakapitu1"/>
          <w:rFonts w:cs="Arial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pl-PL"/>
        </w:rPr>
        <w:t>Opracowanie dokumentacji projektowej i realizacja robót budowlanych</w:t>
        <w:br/>
        <w:t>dla zadania inwestycyjnego pn. „Budowa tężni solankowej wraz z niezbędną infrastrukturą techniczną” w ramach konkursu „Najbardziej Odporna Gmina”.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360" w:before="0" w:after="0"/>
        <w:ind w:left="735" w:right="0" w:hanging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2022 r. poz. </w:t>
      </w:r>
      <w:r>
        <w:rPr>
          <w:rStyle w:val="Mocnowyrniony"/>
          <w:rFonts w:eastAsia="NSimSun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1710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Wybrać do realizacji zamówienia firmę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: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KRYSZTAŁOWY ŚWIAT Produkcyjno Handlowa Usługowa- Export Aldona Grabowska Pajdak, ul. Armii Krajowej 85 , 32-590 Libiąż 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postępowaniu:</w:t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MAPERIS Piotr Brzeziński, 09-402 Płock, ul. Królewiecka 25 lok. 20 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bookmarkStart w:id="1" w:name="__DdeLink__3471_620719433"/>
      <w:bookmarkEnd w:id="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93,40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 53,40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Firma KRYSZTAŁOWY ŚWIAT Produkcyjno Handlowa Usługowa- Export Aldona Grabowska Pajdak, ul. Armii Krajowej 85 , 32-590 Libiąż 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bookmarkStart w:id="2" w:name="__DdeLink__3471_6207194332"/>
      <w:bookmarkEnd w:id="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right"/>
        <w:rPr>
          <w:rFonts w:ascii="Cambria" w:hAnsi="Cambria"/>
          <w:b/>
          <w:b/>
          <w:bCs/>
          <w:sz w:val="28"/>
          <w:szCs w:val="28"/>
        </w:rPr>
      </w:pPr>
      <w:r>
        <w:rPr>
          <w:b/>
          <w:bCs/>
        </w:rPr>
        <w:t xml:space="preserve">             </w:t>
      </w:r>
      <w:r>
        <w:rPr>
          <w:rFonts w:eastAsia="Cambria" w:cs="Cambria" w:ascii="Cambria" w:hAnsi="Cambria"/>
          <w:b/>
          <w:bCs/>
          <w:color w:val="000000"/>
        </w:rPr>
        <w:t>Z up. Burmistrza</w:t>
      </w:r>
    </w:p>
    <w:p>
      <w:pPr>
        <w:pStyle w:val="Normal"/>
        <w:spacing w:lineRule="atLeast" w:line="200"/>
        <w:jc w:val="both"/>
        <w:rPr>
          <w:rFonts w:ascii="Cambria" w:hAnsi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Cambria" w:cs="Cambria" w:ascii="Cambria" w:hAnsi="Cambria"/>
          <w:b/>
          <w:bCs/>
          <w:i/>
          <w:iCs/>
          <w:color w:val="000000"/>
        </w:rPr>
        <w:t>Wiesław Holaczuk</w:t>
      </w:r>
    </w:p>
    <w:p>
      <w:pPr>
        <w:pStyle w:val="Normal"/>
        <w:bidi w:val="0"/>
        <w:spacing w:lineRule="auto" w:line="360"/>
        <w:jc w:val="right"/>
        <w:rPr>
          <w:rFonts w:ascii="Cambria" w:hAnsi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color w:val="000000"/>
        </w:rPr>
        <w:t xml:space="preserve">                                                                                                                  </w:t>
      </w:r>
      <w:r>
        <w:rPr>
          <w:rFonts w:eastAsia="Cambria" w:cs="Cambria" w:ascii="Cambria" w:hAnsi="Cambria"/>
          <w:b/>
          <w:bCs/>
          <w:color w:val="000000"/>
        </w:rPr>
        <w:t>Zastępca Burmistrza</w:t>
      </w:r>
      <w:r>
        <w:rPr>
          <w:b/>
          <w:bCs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LibreOffice/7.0.0.3$Windows_X86_64 LibreOffice_project/8061b3e9204bef6b321a21033174034a5e2ea88e</Application>
  <Pages>2</Pages>
  <Words>298</Words>
  <Characters>1799</Characters>
  <CharactersWithSpaces>2448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2022-11-04T10:24:05Z</dcterms:modified>
  <cp:revision>6</cp:revision>
  <dc:subject/>
  <dc:title/>
</cp:coreProperties>
</file>