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F35" w14:textId="7F4FE29A"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862174">
        <w:rPr>
          <w:rFonts w:ascii="Tahoma" w:hAnsi="Tahoma" w:cs="Tahoma"/>
          <w:sz w:val="20"/>
          <w:szCs w:val="20"/>
        </w:rPr>
        <w:t>7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862174">
        <w:rPr>
          <w:rFonts w:ascii="Tahoma" w:hAnsi="Tahoma" w:cs="Tahoma"/>
          <w:sz w:val="20"/>
          <w:szCs w:val="20"/>
        </w:rPr>
        <w:t>2</w:t>
      </w:r>
      <w:r w:rsidR="00934C36">
        <w:rPr>
          <w:rFonts w:ascii="Tahoma" w:hAnsi="Tahoma" w:cs="Tahoma"/>
          <w:sz w:val="20"/>
          <w:szCs w:val="20"/>
        </w:rPr>
        <w:t>9</w:t>
      </w:r>
      <w:r w:rsidR="007D47E1" w:rsidRPr="007D47E1">
        <w:rPr>
          <w:rFonts w:ascii="Tahoma" w:hAnsi="Tahoma" w:cs="Tahoma"/>
          <w:sz w:val="20"/>
          <w:szCs w:val="20"/>
        </w:rPr>
        <w:t>.11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14:paraId="2CDD2F36" w14:textId="77777777"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14:paraId="2CDD2F37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8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14:paraId="2CDD2F39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14:paraId="2CDD2F3A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B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14:paraId="5D0CBD97" w14:textId="3C06B3C7" w:rsidR="00862174" w:rsidRPr="00C163D4" w:rsidRDefault="00862174" w:rsidP="00862174">
      <w:pPr>
        <w:pStyle w:val="Tekstpodstawowy"/>
        <w:widowControl w:val="0"/>
        <w:numPr>
          <w:ilvl w:val="0"/>
          <w:numId w:val="35"/>
        </w:numPr>
        <w:suppressAutoHyphens/>
        <w:autoSpaceDE w:val="0"/>
        <w:autoSpaceDN/>
        <w:jc w:val="center"/>
        <w:rPr>
          <w:rFonts w:ascii="Tahoma" w:hAnsi="Tahoma" w:cs="Tahoma"/>
          <w:b/>
        </w:rPr>
      </w:pPr>
      <w:r w:rsidRPr="00C163D4">
        <w:rPr>
          <w:rFonts w:ascii="Tahoma" w:hAnsi="Tahoma" w:cs="Tahoma"/>
          <w:b/>
        </w:rPr>
        <w:t xml:space="preserve">„Sukcesywna dostawa </w:t>
      </w:r>
      <w:r>
        <w:rPr>
          <w:rFonts w:ascii="Tahoma" w:hAnsi="Tahoma" w:cs="Tahoma"/>
          <w:b/>
        </w:rPr>
        <w:t xml:space="preserve">materiałów </w:t>
      </w:r>
      <w:r w:rsidR="00D150B8">
        <w:rPr>
          <w:rFonts w:ascii="Tahoma" w:hAnsi="Tahoma" w:cs="Tahoma"/>
          <w:b/>
        </w:rPr>
        <w:t>jednorazowego użytku</w:t>
      </w:r>
      <w:r>
        <w:rPr>
          <w:rFonts w:ascii="Tahoma" w:hAnsi="Tahoma" w:cs="Tahoma"/>
          <w:b/>
        </w:rPr>
        <w:t xml:space="preserve"> </w:t>
      </w:r>
      <w:r w:rsidRPr="00C163D4">
        <w:rPr>
          <w:rFonts w:ascii="Tahoma" w:hAnsi="Tahoma" w:cs="Tahoma"/>
          <w:b/>
        </w:rPr>
        <w:t xml:space="preserve">dla SP ZOZ MSWiA w Opolu” </w:t>
      </w:r>
    </w:p>
    <w:p w14:paraId="2CDD2F3D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14:paraId="2CDD2F3E" w14:textId="77777777" w:rsidR="009863A4" w:rsidRPr="008E687B" w:rsidRDefault="009863A4">
      <w:pPr>
        <w:pStyle w:val="Standard"/>
        <w:rPr>
          <w:rFonts w:ascii="Tahoma" w:hAnsi="Tahoma"/>
          <w:sz w:val="20"/>
          <w:szCs w:val="20"/>
        </w:rPr>
      </w:pPr>
    </w:p>
    <w:p w14:paraId="2CDD2F3F" w14:textId="77777777" w:rsidR="009863A4" w:rsidRPr="008E687B" w:rsidRDefault="000E2B89" w:rsidP="00B01E9F">
      <w:pPr>
        <w:pStyle w:val="Standard"/>
        <w:jc w:val="both"/>
        <w:rPr>
          <w:rFonts w:ascii="Tahoma" w:hAnsi="Tahoma"/>
          <w:sz w:val="20"/>
          <w:szCs w:val="20"/>
        </w:rPr>
      </w:pPr>
      <w:r w:rsidRPr="008E687B">
        <w:rPr>
          <w:rFonts w:ascii="Tahoma" w:hAnsi="Tahoma"/>
          <w:sz w:val="20"/>
          <w:szCs w:val="20"/>
        </w:rPr>
        <w:t>Zgodnie z art. 38 ust.1 ustawy prawo zamówień publicznych z dnia 29 stycznia 2004 roku Zamawiający wyjaśnia zapisy specyfikacji istotnych warunków zamówienia do przedmiotowego postępowania przetargowego:</w:t>
      </w:r>
    </w:p>
    <w:p w14:paraId="2CDD2F40" w14:textId="2ABEC4C3" w:rsidR="009863A4" w:rsidRDefault="009863A4" w:rsidP="00472A4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D00C913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Pakiet 1, Pozycja 1</w:t>
      </w:r>
    </w:p>
    <w:p w14:paraId="522EC42E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dopu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ści do zaoferowania pokrowiec na buty wysoki wykonany z mikroporowatej</w:t>
      </w:r>
    </w:p>
    <w:p w14:paraId="6729073A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laminowanej tkaniny o gramaturze 55 g/m², w kolorze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bia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ł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ym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z elastycznym ścią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gaczem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, tkanina</w:t>
      </w:r>
    </w:p>
    <w:p w14:paraId="1CC79010" w14:textId="20315AC0" w:rsid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niepyl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ąca i antystatyczna, rozmiar XL, ś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rodek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ochrony indywidualnej kategorii III typ 5B/6B,jednorazowego użytku?</w:t>
      </w:r>
    </w:p>
    <w:p w14:paraId="2073315F" w14:textId="526EBDF9" w:rsidR="00C24823" w:rsidRPr="00BD50C7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05E071B4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Pakiet 1, Pozycja 1</w:t>
      </w:r>
    </w:p>
    <w:p w14:paraId="161CAEF3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Czy Zmawiający wymaga zaoferowania pokrowiec na buty wysoki spełniający normy:</w:t>
      </w:r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</w:t>
      </w:r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EN13982-1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Type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5B PB, EN13034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Type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6B PB, EN1073-2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Nuclear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Particle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, EN1149-5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Anti-Static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, EN14126 INFECTIVE AGENTS</w:t>
      </w:r>
    </w:p>
    <w:p w14:paraId="0E76B4B3" w14:textId="19B97D70" w:rsidR="00C24823" w:rsidRPr="00BD50C7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</w:p>
    <w:p w14:paraId="07ECB255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Pakiet 2, Pozycja 1</w:t>
      </w:r>
    </w:p>
    <w:p w14:paraId="7C0DF498" w14:textId="1D891825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dopu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ści do zaoferowania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wod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ę do inhalacji o pojemności 325ml?</w:t>
      </w:r>
    </w:p>
    <w:p w14:paraId="2F701723" w14:textId="63809BC6" w:rsidR="00C24823" w:rsidRPr="00BD50C7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244C0676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Pakiet 2, Pozycja 1</w:t>
      </w:r>
    </w:p>
    <w:p w14:paraId="13A097D7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Czy Zmawiają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wymaga zaoferowania wody do inhalacji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umo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ż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liwiaj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cej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prowadzenie dł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ugotrwa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łej</w:t>
      </w:r>
    </w:p>
    <w:p w14:paraId="57E4E6D3" w14:textId="1AB18F8E" w:rsidR="00C24823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inhalacji przy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wi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ę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cej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niż jednym pacjencie,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powy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żej 70 dni przy terapii inhalacyjnej.?</w:t>
      </w:r>
    </w:p>
    <w:p w14:paraId="28DCEF30" w14:textId="733AA4F7" w:rsidR="00C24823" w:rsidRPr="00BD50C7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2DFDE7A8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Pakiet 2, Pozycja 3</w:t>
      </w:r>
    </w:p>
    <w:p w14:paraId="00ACF432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dopu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ści do zaoferowania nebulizator z łą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cznikiem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T o konstrukcji anty przelewowej,</w:t>
      </w:r>
    </w:p>
    <w:p w14:paraId="0620E5AE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mało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obj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ętoś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ciowy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z wylotem skierowanym do gó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ry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charakteryzują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się ś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redni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 wielkością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ąsteczek</w:t>
      </w:r>
    </w:p>
    <w:p w14:paraId="3717EA94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na poziomie (MMAD) przy 6l/m - 3,33pm oraz ś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redniej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wydajno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ść na poziomie 0.35 ml/min?.</w:t>
      </w:r>
    </w:p>
    <w:p w14:paraId="2B8EEEBD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Węż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yk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dołą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czany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do zestawów zapewnia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przep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ł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yw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przy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zagi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ę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ciu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. Maski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wchodz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ące w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sk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ład zestawu</w:t>
      </w:r>
    </w:p>
    <w:p w14:paraId="2569A161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posiadają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elastyczn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blaszk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ę i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gumk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ę co uł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atwia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optymalne dopasowanie do twarzy pacjenta.</w:t>
      </w:r>
    </w:p>
    <w:p w14:paraId="6060BC1C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lastRenderedPageBreak/>
        <w:t xml:space="preserve">Dodatkowo konstrukcja nebulizatora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umo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ż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liwia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wydajn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nebulizacj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ę w pozycji pionowej, jak i pod</w:t>
      </w:r>
    </w:p>
    <w:p w14:paraId="2BD79AA2" w14:textId="3533F4F4" w:rsidR="00C24823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nachyleniem?</w:t>
      </w:r>
    </w:p>
    <w:p w14:paraId="2548FA67" w14:textId="29AEA76F" w:rsidR="00C24823" w:rsidRPr="00BD50C7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52A9A89D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Pakiet 4, Pozycja 1</w:t>
      </w:r>
    </w:p>
    <w:p w14:paraId="51B67CA8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dopu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ści do zaoferowania kombinezon ochrony biologicznej wykonany z</w:t>
      </w:r>
    </w:p>
    <w:p w14:paraId="60D908E7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mikroporowatej laminowanej tkaniny o gramaturze 55 g/m², elastyczny kaptur i plecy, elastyczne</w:t>
      </w:r>
    </w:p>
    <w:p w14:paraId="013777E3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mankiety i ścią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gacze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wok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ół kostek, dwukierunkowy zamek bł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yskawiczny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z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samoprzylepn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patk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ą</w:t>
      </w:r>
    </w:p>
    <w:p w14:paraId="47FEFD81" w14:textId="77777777" w:rsidR="00C24823" w:rsidRPr="00C24823" w:rsidRDefault="00C24823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zakrywającą, bez lateksu i silikonu, tkanina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niepyl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ąca i antystatyczna, ś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rodek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ochrony indywidualnej</w:t>
      </w:r>
    </w:p>
    <w:p w14:paraId="1D12B505" w14:textId="57866F07" w:rsidR="00C24823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kategorii III typ 5B/6B, jednorazowego uż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ytku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, 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spe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ł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niaj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ą</w:t>
      </w:r>
      <w:proofErr w:type="spellStart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normy:</w:t>
      </w:r>
      <w:r w:rsidRPr="00C24823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EN13982-1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Type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5B PB, EN13034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Type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6B PB, EN1073-2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Nuclear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Particle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 xml:space="preserve">, EN1149-5 </w:t>
      </w:r>
      <w:proofErr w:type="spellStart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Anti-Static</w:t>
      </w:r>
      <w:proofErr w:type="spellEnd"/>
      <w:r w:rsidRPr="00C24823"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, EN14126 INFECTIVE AGENTS</w:t>
      </w:r>
    </w:p>
    <w:p w14:paraId="5B5E4B37" w14:textId="2BB87634" w:rsidR="00C24823" w:rsidRPr="00BD50C7" w:rsidRDefault="00C24823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612625AF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Pakiet 4, Pozycja 1</w:t>
      </w:r>
    </w:p>
    <w:p w14:paraId="0F80A04A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wymaga zaoferowania kombinezonów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dost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ę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pnych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w rozmiarach: S, M, L, XL, XXL,</w:t>
      </w:r>
    </w:p>
    <w:p w14:paraId="5E9B6C2D" w14:textId="327A8EA2" w:rsidR="00C24823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XXXL?</w:t>
      </w:r>
    </w:p>
    <w:p w14:paraId="22BEAE27" w14:textId="49C112FB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Zamawiający wymaga jak wyżej.</w:t>
      </w:r>
    </w:p>
    <w:p w14:paraId="40A82FFA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Pakiet 6, Pozycja 1</w:t>
      </w:r>
    </w:p>
    <w:p w14:paraId="0F4558CC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dopu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ści do zaoferowania: Półmaska filtrująca w klasie filtracji FFP3, NR</w:t>
      </w:r>
    </w:p>
    <w:p w14:paraId="726C4ED1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(jednorazowego uż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ytku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– przeznaczona na 8 godzin pracy), D - (przebadana na zatkanie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łem</w:t>
      </w:r>
    </w:p>
    <w:p w14:paraId="4018976B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dolomitowym). Półmaska typu pionowo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ł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adanego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z zaworem umieszczonym z boku. Czasza wykonana</w:t>
      </w:r>
    </w:p>
    <w:p w14:paraId="0A75C881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z materiału wielowarstwowego antyalergicznego (LATEX-FREE) non-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woven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. Zacisk nosowy uł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atwiaj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</w:p>
    <w:p w14:paraId="6399AE2A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dopasowanie półmaski do nosa uż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ytkownika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; pianka nosowa stwarzająca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wi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ę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kszy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komfort uż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ytkowania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;</w:t>
      </w:r>
    </w:p>
    <w:p w14:paraId="19BB6F08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taśmy mocowane do półmaski za pomocą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otwor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ów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wyt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łoczonych w półmasce (brak ryzyka uszkodzenia</w:t>
      </w:r>
    </w:p>
    <w:p w14:paraId="469F3D5A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mocowania taśmy); brak efektu parowania okularów;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ść filtracji 99% - stosowane do ochrony</w:t>
      </w:r>
    </w:p>
    <w:p w14:paraId="66018F6B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przed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stkami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sta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ł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ymi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i ciekł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ymi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o wysokiej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toksyczno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ści dla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kt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ó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rych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NDS&lt;0,05mg/m3 o ile</w:t>
      </w:r>
    </w:p>
    <w:p w14:paraId="6A8E6436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maksymalne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st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ęż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enie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wynosi do 50xNDS; brak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podatno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ści na zapadanie się oraz tracenie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kszta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łtu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dzi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ęki</w:t>
      </w: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</w:t>
      </w: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wysokiej odporności na wysokie oraz niskie temperatury; indywidualnie pakowana; wysokowydajny</w:t>
      </w:r>
    </w:p>
    <w:p w14:paraId="73A76992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zaw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ór oddechowy zapewniają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niskie opory wydechu i efektywne odprowadzanie wilgoci i ciepła z</w:t>
      </w:r>
    </w:p>
    <w:p w14:paraId="7889ECD6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półmaski Posiada certyfikat na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zgodno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ść ze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zharmonizowan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 normą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europejsk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 EN 149:2001 +</w:t>
      </w:r>
    </w:p>
    <w:p w14:paraId="5E4FD609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A1:2009. ISO 9001: 2015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Quality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Management System. ISO 13485: 2016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Medical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Devices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Quality</w:t>
      </w:r>
      <w:proofErr w:type="spellEnd"/>
    </w:p>
    <w:p w14:paraId="37D300B2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Management System (system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zarz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dzania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jakością dla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wyrob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ów medycznych). Ś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rodek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Ochrony</w:t>
      </w:r>
    </w:p>
    <w:p w14:paraId="34CE75F2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Indywidualnej kategorii III.</w:t>
      </w:r>
    </w:p>
    <w:p w14:paraId="6F8F911D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•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ść filtracji bakteryjnej dla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ąstek (BFE) – &gt;99,9%</w:t>
      </w:r>
    </w:p>
    <w:p w14:paraId="71BEFB52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lastRenderedPageBreak/>
        <w:t xml:space="preserve">•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ść filtracji dla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ąstek (0,1 μm) – &gt;99,9%</w:t>
      </w:r>
    </w:p>
    <w:p w14:paraId="46BC674F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• przebadane w zakresie penetracji chlorkiem sodu (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ść filtracji &gt;99,9%)</w:t>
      </w:r>
    </w:p>
    <w:p w14:paraId="44D4188B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•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op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ór powietrza (w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mbar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) przy wdechu &lt; 1,5</w:t>
      </w:r>
    </w:p>
    <w:p w14:paraId="2DB75CAA" w14:textId="34F28D0D" w:rsid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•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op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ór powietrza (w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mbar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) przy wydechu &lt; 2,5</w:t>
      </w:r>
    </w:p>
    <w:p w14:paraId="5819FA19" w14:textId="1770315E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Zgodnie z SIWZ. Zamawiający wymaga aby zawór filtrujący maski umieszczony był z przodu czaszy maski.</w:t>
      </w:r>
    </w:p>
    <w:p w14:paraId="3747429C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Pakiet 6, Pozycja 1</w:t>
      </w:r>
    </w:p>
    <w:p w14:paraId="43D33ABB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wymaga złoż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enia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stosownego oś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wiadczenia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od producenta w celu potwierdzenia</w:t>
      </w:r>
    </w:p>
    <w:p w14:paraId="4622A755" w14:textId="39E8B64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parametrów technicznych oraz dostarczenie certyfikatów i badań przeprowadzonych przez BSI?</w:t>
      </w:r>
    </w:p>
    <w:p w14:paraId="2FA58E85" w14:textId="3770B0F4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Na wezwanie Zamawiającego.</w:t>
      </w:r>
    </w:p>
    <w:p w14:paraId="2A45C837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Pakiet 6, Pozycja 1</w:t>
      </w:r>
    </w:p>
    <w:p w14:paraId="521EBC72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Czy Zamawiają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cy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wymaga, aby półmaska FFP3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spe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ł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nia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ła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ść filtracji bakteryjnej dla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ąstek</w:t>
      </w:r>
    </w:p>
    <w:p w14:paraId="003052C9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(BFE) – &gt;99,9%,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ść filtracji dla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cz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ąstek (0,1 μm) – &gt;99,9%, przebadane w zakresie penetracji</w:t>
      </w:r>
    </w:p>
    <w:p w14:paraId="58E495AD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chlorkiem sodu (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skuteczno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ść filtracji &gt;99,9%),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op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ór powietrza (w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mbar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) przy wdechu &lt; 1,5,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op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ór</w:t>
      </w:r>
    </w:p>
    <w:p w14:paraId="544EF194" w14:textId="77777777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powietrza (w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mbar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) przy wydechu &lt; 2,5. Powyż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sze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 parametry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pozwol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ą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zagwarantowa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 xml:space="preserve">ć 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bezpiecze</w:t>
      </w:r>
      <w:proofErr w:type="spellEnd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ń</w:t>
      </w:r>
      <w:proofErr w:type="spellStart"/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stwo</w:t>
      </w:r>
      <w:proofErr w:type="spellEnd"/>
    </w:p>
    <w:p w14:paraId="794156A8" w14:textId="0B6E1E8E" w:rsid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kern w:val="0"/>
          <w:sz w:val="20"/>
          <w:szCs w:val="20"/>
          <w:lang w:bidi="ar-SA"/>
        </w:rPr>
        <w:t>pracy personelu medycznego.</w:t>
      </w:r>
    </w:p>
    <w:p w14:paraId="1A96F020" w14:textId="36B241F0" w:rsidR="00BD50C7" w:rsidRPr="00BD50C7" w:rsidRDefault="00BD50C7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BD50C7">
        <w:rPr>
          <w:rFonts w:ascii="Tahoma" w:eastAsia="CIDFont+F5" w:hAnsi="Tahoma" w:cs="Tahoma"/>
          <w:b/>
          <w:bCs/>
          <w:kern w:val="0"/>
          <w:sz w:val="20"/>
          <w:szCs w:val="20"/>
          <w:lang w:bidi="ar-SA"/>
        </w:rPr>
        <w:t>Zamawiający wymaga jak wyżej.</w:t>
      </w:r>
    </w:p>
    <w:p w14:paraId="2C5A18C7" w14:textId="43994708" w:rsidR="00C24823" w:rsidRDefault="00C20A88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Katarzyna Jarosz</w:t>
      </w:r>
    </w:p>
    <w:p w14:paraId="6A46C7DC" w14:textId="59A6D1DE" w:rsidR="00C20A88" w:rsidRPr="00C24823" w:rsidRDefault="00C20A88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Specjalista ds. zamówień publicznych</w:t>
      </w:r>
    </w:p>
    <w:p w14:paraId="7D7AE32D" w14:textId="77777777" w:rsidR="00C24823" w:rsidRPr="00C24823" w:rsidRDefault="00C24823" w:rsidP="00C24823">
      <w:pPr>
        <w:widowControl/>
        <w:suppressAutoHyphens w:val="0"/>
        <w:autoSpaceDE w:val="0"/>
        <w:adjustRightInd w:val="0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</w:p>
    <w:sectPr w:rsidR="00C24823" w:rsidRPr="00C24823" w:rsidSect="009863A4">
      <w:footerReference w:type="default" r:id="rId8"/>
      <w:headerReference w:type="first" r:id="rId9"/>
      <w:footerReference w:type="first" r:id="rId10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3007" w14:textId="77777777" w:rsidR="00757E16" w:rsidRDefault="00757E16" w:rsidP="009863A4">
      <w:r>
        <w:separator/>
      </w:r>
    </w:p>
  </w:endnote>
  <w:endnote w:type="continuationSeparator" w:id="0">
    <w:p w14:paraId="2CDD3008" w14:textId="77777777" w:rsidR="00757E16" w:rsidRDefault="00757E16" w:rsidP="009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77D89CA" w14:textId="7A2B6C8D" w:rsidR="00DE0F98" w:rsidRPr="00DE0F98" w:rsidRDefault="00DE0F9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28D72E6" w14:textId="77777777" w:rsidR="00DE0F98" w:rsidRDefault="00DE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D" w14:textId="77777777" w:rsidR="00757E16" w:rsidRDefault="00C20A88">
    <w:pPr>
      <w:pStyle w:val="Nagwek21"/>
      <w:widowControl/>
      <w:suppressAutoHyphens w:val="0"/>
      <w:spacing w:after="120"/>
      <w:jc w:val="right"/>
      <w:outlineLvl w:val="9"/>
    </w:pPr>
    <w:r>
      <w:rPr>
        <w:sz w:val="12"/>
        <w:szCs w:val="12"/>
      </w:rPr>
      <w:pict w14:anchorId="2CDD301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14:paraId="2CDD301D" w14:textId="77777777" w:rsidR="00757E16" w:rsidRDefault="00757E16"/>
            </w:txbxContent>
          </v:textbox>
        </v:shape>
      </w:pict>
    </w:r>
  </w:p>
  <w:p w14:paraId="2CDD300E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2CDD3018" wp14:editId="2CDD3019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 wp14:anchorId="2CDD301A" wp14:editId="2CDD301B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14:paraId="2CDD300F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14:paraId="2CDD3010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14:paraId="2CDD3011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14:paraId="2CDD3012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14:paraId="2CDD3013" w14:textId="77777777"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3005" w14:textId="77777777" w:rsidR="00757E16" w:rsidRDefault="00757E16" w:rsidP="009863A4">
      <w:r w:rsidRPr="009863A4">
        <w:rPr>
          <w:color w:val="000000"/>
        </w:rPr>
        <w:separator/>
      </w:r>
    </w:p>
  </w:footnote>
  <w:footnote w:type="continuationSeparator" w:id="0">
    <w:p w14:paraId="2CDD3006" w14:textId="77777777" w:rsidR="00757E16" w:rsidRDefault="00757E16" w:rsidP="009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9" w14:textId="77777777"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 wp14:anchorId="2CDD3014" wp14:editId="2CDD3015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2CDD300A" w14:textId="77777777"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14:paraId="2CDD300B" w14:textId="77777777" w:rsidR="00757E16" w:rsidRDefault="00C20A88">
    <w:pPr>
      <w:pStyle w:val="Nagwek21"/>
      <w:spacing w:after="120"/>
      <w:ind w:left="1559"/>
      <w:jc w:val="center"/>
      <w:outlineLvl w:val="9"/>
    </w:pPr>
    <w:r>
      <w:rPr>
        <w:lang w:val="en-US"/>
      </w:rPr>
      <w:pict w14:anchorId="2CDD301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14:paraId="2CDD301C" w14:textId="77777777" w:rsidR="00757E16" w:rsidRDefault="00757E16"/>
            </w:txbxContent>
          </v:textbox>
        </v:shape>
      </w:pict>
    </w:r>
  </w:p>
  <w:p w14:paraId="2CDD300C" w14:textId="77777777" w:rsidR="00757E16" w:rsidRDefault="00757E1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92867"/>
    <w:multiLevelType w:val="hybridMultilevel"/>
    <w:tmpl w:val="7F2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8" w15:restartNumberingAfterBreak="0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80D6E"/>
    <w:multiLevelType w:val="hybridMultilevel"/>
    <w:tmpl w:val="E25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31A1"/>
    <w:multiLevelType w:val="hybridMultilevel"/>
    <w:tmpl w:val="804C48B6"/>
    <w:lvl w:ilvl="0" w:tplc="F3803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9"/>
  </w:num>
  <w:num w:numId="5">
    <w:abstractNumId w:val="39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8"/>
  </w:num>
  <w:num w:numId="12">
    <w:abstractNumId w:val="26"/>
  </w:num>
  <w:num w:numId="13">
    <w:abstractNumId w:val="35"/>
  </w:num>
  <w:num w:numId="14">
    <w:abstractNumId w:val="27"/>
  </w:num>
  <w:num w:numId="15">
    <w:abstractNumId w:val="30"/>
  </w:num>
  <w:num w:numId="16">
    <w:abstractNumId w:val="28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1"/>
  </w:num>
  <w:num w:numId="23">
    <w:abstractNumId w:val="3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19"/>
  </w:num>
  <w:num w:numId="29">
    <w:abstractNumId w:val="2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</w:num>
  <w:num w:numId="34">
    <w:abstractNumId w:val="20"/>
  </w:num>
  <w:num w:numId="35">
    <w:abstractNumId w:val="0"/>
  </w:num>
  <w:num w:numId="36">
    <w:abstractNumId w:val="36"/>
  </w:num>
  <w:num w:numId="37">
    <w:abstractNumId w:val="33"/>
  </w:num>
  <w:num w:numId="38">
    <w:abstractNumId w:val="5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A4"/>
    <w:rsid w:val="000348EF"/>
    <w:rsid w:val="0004086F"/>
    <w:rsid w:val="000417A8"/>
    <w:rsid w:val="00057391"/>
    <w:rsid w:val="00062C2E"/>
    <w:rsid w:val="00075B63"/>
    <w:rsid w:val="000903B8"/>
    <w:rsid w:val="00096042"/>
    <w:rsid w:val="000A7D27"/>
    <w:rsid w:val="000C4F76"/>
    <w:rsid w:val="000E2B89"/>
    <w:rsid w:val="000E50DB"/>
    <w:rsid w:val="000F2B62"/>
    <w:rsid w:val="001538DE"/>
    <w:rsid w:val="00176433"/>
    <w:rsid w:val="0020394F"/>
    <w:rsid w:val="00223588"/>
    <w:rsid w:val="002E7AA6"/>
    <w:rsid w:val="00306AC4"/>
    <w:rsid w:val="003120D3"/>
    <w:rsid w:val="00341771"/>
    <w:rsid w:val="00351155"/>
    <w:rsid w:val="003524D3"/>
    <w:rsid w:val="00366163"/>
    <w:rsid w:val="00384DB4"/>
    <w:rsid w:val="003A73E5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173BD"/>
    <w:rsid w:val="006509CB"/>
    <w:rsid w:val="00680BB2"/>
    <w:rsid w:val="00692772"/>
    <w:rsid w:val="006C1031"/>
    <w:rsid w:val="006D18B4"/>
    <w:rsid w:val="006F3641"/>
    <w:rsid w:val="00757E16"/>
    <w:rsid w:val="0076230B"/>
    <w:rsid w:val="00776522"/>
    <w:rsid w:val="007B3898"/>
    <w:rsid w:val="007B6E21"/>
    <w:rsid w:val="007D47E1"/>
    <w:rsid w:val="00851473"/>
    <w:rsid w:val="00862174"/>
    <w:rsid w:val="008A4F17"/>
    <w:rsid w:val="008B04A4"/>
    <w:rsid w:val="008C5CD4"/>
    <w:rsid w:val="008E687B"/>
    <w:rsid w:val="008F0126"/>
    <w:rsid w:val="008F1091"/>
    <w:rsid w:val="008F3C7C"/>
    <w:rsid w:val="0091644F"/>
    <w:rsid w:val="00934C36"/>
    <w:rsid w:val="00952FED"/>
    <w:rsid w:val="009649FF"/>
    <w:rsid w:val="00967E08"/>
    <w:rsid w:val="009863A4"/>
    <w:rsid w:val="009A21CA"/>
    <w:rsid w:val="009B7EEB"/>
    <w:rsid w:val="00A3744B"/>
    <w:rsid w:val="00A448F3"/>
    <w:rsid w:val="00A51727"/>
    <w:rsid w:val="00A62000"/>
    <w:rsid w:val="00A92E7E"/>
    <w:rsid w:val="00AA6E84"/>
    <w:rsid w:val="00B01E9F"/>
    <w:rsid w:val="00B206E2"/>
    <w:rsid w:val="00B347E0"/>
    <w:rsid w:val="00B556F4"/>
    <w:rsid w:val="00B57E50"/>
    <w:rsid w:val="00B828D7"/>
    <w:rsid w:val="00B84CB6"/>
    <w:rsid w:val="00B92B5F"/>
    <w:rsid w:val="00BA26DD"/>
    <w:rsid w:val="00BB1EB1"/>
    <w:rsid w:val="00BC4F04"/>
    <w:rsid w:val="00BD50C7"/>
    <w:rsid w:val="00C20A88"/>
    <w:rsid w:val="00C24823"/>
    <w:rsid w:val="00C31DC8"/>
    <w:rsid w:val="00C34EDB"/>
    <w:rsid w:val="00C42EB3"/>
    <w:rsid w:val="00C5521B"/>
    <w:rsid w:val="00CC2D6A"/>
    <w:rsid w:val="00D150B8"/>
    <w:rsid w:val="00D227DC"/>
    <w:rsid w:val="00D32E0F"/>
    <w:rsid w:val="00D528B8"/>
    <w:rsid w:val="00D54A4E"/>
    <w:rsid w:val="00DD3B40"/>
    <w:rsid w:val="00DE0F98"/>
    <w:rsid w:val="00E24DD9"/>
    <w:rsid w:val="00EA67B4"/>
    <w:rsid w:val="00EB3077"/>
    <w:rsid w:val="00ED1173"/>
    <w:rsid w:val="00F562D3"/>
    <w:rsid w:val="00F820F0"/>
    <w:rsid w:val="00F92758"/>
    <w:rsid w:val="00F96FD8"/>
    <w:rsid w:val="00FE0F1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2F35"/>
  <w15:docId w15:val="{4EAAD3FD-3BC2-40B4-AD4A-EA0930D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604-ABE8-4285-86B4-AC891B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Florian Popiela</cp:lastModifiedBy>
  <cp:revision>71</cp:revision>
  <cp:lastPrinted>2018-04-10T06:43:00Z</cp:lastPrinted>
  <dcterms:created xsi:type="dcterms:W3CDTF">2019-11-13T11:37:00Z</dcterms:created>
  <dcterms:modified xsi:type="dcterms:W3CDTF">2020-11-29T22:36:00Z</dcterms:modified>
</cp:coreProperties>
</file>