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87B20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487B20">
        <w:rPr>
          <w:rFonts w:ascii="Arial Black" w:hAnsi="Arial Black" w:cs="Times New Roman"/>
          <w:b/>
        </w:rPr>
        <w:t>Kozienicach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87B20">
        <w:rPr>
          <w:rFonts w:ascii="Times New Roman" w:hAnsi="Times New Roman" w:cs="Times New Roman"/>
          <w:b/>
        </w:rPr>
        <w:t>4</w:t>
      </w:r>
    </w:p>
    <w:p w:rsidR="00487B20" w:rsidRPr="00E908F4" w:rsidRDefault="00487B20" w:rsidP="00487B20">
      <w:pPr>
        <w:jc w:val="center"/>
      </w:pPr>
      <w:r>
        <w:rPr>
          <w:rFonts w:ascii="Times New Roman" w:hAnsi="Times New Roman" w:cs="Times New Roman"/>
          <w:b/>
        </w:rPr>
        <w:t xml:space="preserve">KPP w Kozienicach ul. Radomska 1; 26-900 Kozienice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487B20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487B20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487B20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487B20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E6124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E6124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E6124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E6124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E61244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612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612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Pr="00AF025B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612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E612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7B20" w:rsidRDefault="00487B20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87B20" w:rsidTr="00B714AD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7B20" w:rsidRDefault="00487B20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87B20" w:rsidRDefault="00487B20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7B20" w:rsidRDefault="00487B20" w:rsidP="00487B20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A5032"/>
    <w:rsid w:val="000C0CDF"/>
    <w:rsid w:val="000C69F3"/>
    <w:rsid w:val="000F7873"/>
    <w:rsid w:val="00102CFC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5708F"/>
    <w:rsid w:val="0037631D"/>
    <w:rsid w:val="0039495C"/>
    <w:rsid w:val="003A324E"/>
    <w:rsid w:val="003B50CA"/>
    <w:rsid w:val="003B538B"/>
    <w:rsid w:val="00466093"/>
    <w:rsid w:val="00487B20"/>
    <w:rsid w:val="004B2773"/>
    <w:rsid w:val="004E2DF3"/>
    <w:rsid w:val="004F6737"/>
    <w:rsid w:val="00504E29"/>
    <w:rsid w:val="005345AC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F1AAE"/>
    <w:rsid w:val="00E61244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15</cp:revision>
  <dcterms:created xsi:type="dcterms:W3CDTF">2022-03-29T13:04:00Z</dcterms:created>
  <dcterms:modified xsi:type="dcterms:W3CDTF">2022-06-10T07:57:00Z</dcterms:modified>
</cp:coreProperties>
</file>