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093664" w:rsidRPr="00810F3F" w:rsidRDefault="006D26C6" w:rsidP="00093664">
      <w:pPr>
        <w:spacing w:before="120" w:line="276" w:lineRule="auto"/>
        <w:jc w:val="center"/>
        <w:rPr>
          <w:rFonts w:ascii="Calibri" w:hAnsi="Calibri"/>
          <w:b/>
          <w:u w:val="single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093664" w:rsidRPr="00810F3F">
        <w:rPr>
          <w:b/>
        </w:rPr>
        <w:t xml:space="preserve">Remont drogi leśnej nr </w:t>
      </w:r>
      <w:proofErr w:type="spellStart"/>
      <w:r w:rsidR="00093664" w:rsidRPr="00810F3F">
        <w:rPr>
          <w:b/>
        </w:rPr>
        <w:t>inw</w:t>
      </w:r>
      <w:proofErr w:type="spellEnd"/>
      <w:r w:rsidR="00093664" w:rsidRPr="00810F3F">
        <w:rPr>
          <w:b/>
        </w:rPr>
        <w:t xml:space="preserve">. 242/124 obręb </w:t>
      </w:r>
      <w:proofErr w:type="spellStart"/>
      <w:r w:rsidR="00093664" w:rsidRPr="00810F3F">
        <w:rPr>
          <w:b/>
        </w:rPr>
        <w:t>Kołonice</w:t>
      </w:r>
      <w:proofErr w:type="spellEnd"/>
      <w:r w:rsidR="00093664" w:rsidRPr="00810F3F">
        <w:rPr>
          <w:b/>
        </w:rPr>
        <w:t>, Łubne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>Skarb Państwa - Państwowe Gospodarstwo Leśne Lasy Państwowe Nadleśnictwo Baligród, reprezentowane przez Wojciecha Głuszko– Nadleśniczego</w:t>
      </w:r>
      <w:r w:rsidR="00654EA9">
        <w:rPr>
          <w:rFonts w:ascii="Calibri" w:hAnsi="Calibri"/>
        </w:rPr>
        <w:t xml:space="preserve"> </w:t>
      </w:r>
      <w:r w:rsidR="005A5F98">
        <w:rPr>
          <w:rFonts w:ascii="Calibri" w:hAnsi="Calibri"/>
        </w:rPr>
        <w:t>z siedzibą przy u</w:t>
      </w:r>
      <w:r w:rsidR="00654EA9" w:rsidRPr="0042485E">
        <w:rPr>
          <w:rFonts w:ascii="Calibri" w:hAnsi="Calibri"/>
        </w:rPr>
        <w:t xml:space="preserve">l. </w:t>
      </w:r>
      <w:r w:rsidR="005A5F98">
        <w:rPr>
          <w:rFonts w:ascii="Calibri" w:hAnsi="Calibri"/>
        </w:rPr>
        <w:t>Bieszczadzkiej</w:t>
      </w:r>
      <w:r w:rsidR="00654EA9" w:rsidRPr="0042485E">
        <w:rPr>
          <w:rFonts w:ascii="Calibri" w:hAnsi="Calibri"/>
        </w:rPr>
        <w:t xml:space="preserve"> 15</w:t>
      </w:r>
      <w:r w:rsidR="00654EA9">
        <w:rPr>
          <w:rFonts w:ascii="Calibri" w:hAnsi="Calibri"/>
        </w:rPr>
        <w:t xml:space="preserve">, </w:t>
      </w:r>
      <w:r w:rsidR="00654EA9" w:rsidRPr="0042485E">
        <w:rPr>
          <w:rFonts w:ascii="Calibri" w:hAnsi="Calibri"/>
        </w:rPr>
        <w:t xml:space="preserve">36-606 Baligród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wolną od wad, w wysokości 0,05 % wynagrod</w:t>
      </w:r>
      <w:r w:rsidR="00A054EC">
        <w:rPr>
          <w:rFonts w:cs="Verdana"/>
        </w:rPr>
        <w:t>zenia netto, o którym mowa w § 5</w:t>
      </w:r>
      <w:r w:rsidRPr="00654EA9">
        <w:rPr>
          <w:rFonts w:cs="Verdana"/>
        </w:rPr>
        <w:t xml:space="preserve"> ust. 2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że ostatni przegląd będzie wykonany nie później niż na 3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ujawnieniu wad Wykonawcę w terminie 7 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>Nadleśnictwo Baligród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 oraz ustawy z dnia 29 stycznia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2004 r. Prawo zamówień publicznych (tekst jednolity </w:t>
      </w:r>
      <w:r w:rsidR="00A054EC" w:rsidRPr="0042485E">
        <w:rPr>
          <w:rFonts w:ascii="Calibri" w:eastAsia="Tahoma" w:hAnsi="Calibri"/>
          <w:kern w:val="1"/>
          <w:lang w:eastAsia="ar-SA"/>
        </w:rPr>
        <w:t xml:space="preserve">tj. Dz. U. z 2015 r. poz. 2164 z </w:t>
      </w:r>
      <w:proofErr w:type="spellStart"/>
      <w:r w:rsidR="00A054EC" w:rsidRPr="0042485E">
        <w:rPr>
          <w:rFonts w:ascii="Calibri" w:eastAsia="Tahoma" w:hAnsi="Calibri"/>
          <w:kern w:val="1"/>
          <w:lang w:eastAsia="ar-SA"/>
        </w:rPr>
        <w:t>późn</w:t>
      </w:r>
      <w:proofErr w:type="spellEnd"/>
      <w:r w:rsidR="00A054EC" w:rsidRPr="0042485E">
        <w:rPr>
          <w:rFonts w:ascii="Calibri" w:eastAsia="Tahoma" w:hAnsi="Calibri"/>
          <w:kern w:val="1"/>
          <w:lang w:eastAsia="ar-SA"/>
        </w:rPr>
        <w:t>. zm.)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7C" w:rsidRDefault="00545C7C" w:rsidP="00654EA9">
      <w:pPr>
        <w:spacing w:after="0" w:line="240" w:lineRule="auto"/>
      </w:pPr>
      <w:r>
        <w:separator/>
      </w:r>
    </w:p>
  </w:endnote>
  <w:endnote w:type="continuationSeparator" w:id="0">
    <w:p w:rsidR="00545C7C" w:rsidRDefault="00545C7C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64" w:rsidRDefault="00093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64" w:rsidRDefault="00093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64" w:rsidRDefault="00093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7C" w:rsidRDefault="00545C7C" w:rsidP="00654EA9">
      <w:pPr>
        <w:spacing w:after="0" w:line="240" w:lineRule="auto"/>
      </w:pPr>
      <w:r>
        <w:separator/>
      </w:r>
    </w:p>
  </w:footnote>
  <w:footnote w:type="continuationSeparator" w:id="0">
    <w:p w:rsidR="00545C7C" w:rsidRDefault="00545C7C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64" w:rsidRDefault="00093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A9" w:rsidRDefault="00552C1F">
    <w:pPr>
      <w:pStyle w:val="Nagwek"/>
      <w:rPr>
        <w:rFonts w:ascii="Calibri" w:eastAsia="Calibri" w:hAnsi="Calibri"/>
      </w:rPr>
    </w:pPr>
    <w:r>
      <w:rPr>
        <w:rFonts w:ascii="Calibri" w:eastAsia="Calibri" w:hAnsi="Calibri"/>
      </w:rPr>
      <w:t>ZG.27</w:t>
    </w:r>
    <w:r w:rsidR="00EB7383">
      <w:rPr>
        <w:rFonts w:ascii="Calibri" w:eastAsia="Calibri" w:hAnsi="Calibri"/>
      </w:rPr>
      <w:t>0.</w:t>
    </w:r>
    <w:r w:rsidR="006F2EE7">
      <w:rPr>
        <w:rFonts w:ascii="Calibri" w:eastAsia="Calibri" w:hAnsi="Calibri"/>
      </w:rPr>
      <w:t>1.</w:t>
    </w:r>
    <w:r w:rsidR="00093664">
      <w:rPr>
        <w:rFonts w:ascii="Calibri" w:eastAsia="Calibri" w:hAnsi="Calibri"/>
      </w:rPr>
      <w:t>5</w:t>
    </w:r>
    <w:r w:rsidR="007F0488">
      <w:rPr>
        <w:rFonts w:ascii="Calibri" w:eastAsia="Calibri" w:hAnsi="Calibri"/>
      </w:rPr>
      <w:t>.</w:t>
    </w:r>
    <w:r w:rsidR="00093664">
      <w:rPr>
        <w:rFonts w:ascii="Calibri" w:eastAsia="Calibri" w:hAnsi="Calibri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64" w:rsidRDefault="000936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10223A"/>
    <w:rsid w:val="00145445"/>
    <w:rsid w:val="0021237D"/>
    <w:rsid w:val="00545C7C"/>
    <w:rsid w:val="00552C1F"/>
    <w:rsid w:val="005A5F98"/>
    <w:rsid w:val="00626513"/>
    <w:rsid w:val="00654EA9"/>
    <w:rsid w:val="006661D5"/>
    <w:rsid w:val="006D26C6"/>
    <w:rsid w:val="006F2EE7"/>
    <w:rsid w:val="007F0488"/>
    <w:rsid w:val="0094738A"/>
    <w:rsid w:val="00A054EC"/>
    <w:rsid w:val="00B94AF1"/>
    <w:rsid w:val="00BB388D"/>
    <w:rsid w:val="00BC7268"/>
    <w:rsid w:val="00C31C1F"/>
    <w:rsid w:val="00CB2B98"/>
    <w:rsid w:val="00CF4EB7"/>
    <w:rsid w:val="00CF685F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15</cp:revision>
  <dcterms:created xsi:type="dcterms:W3CDTF">2017-07-13T05:10:00Z</dcterms:created>
  <dcterms:modified xsi:type="dcterms:W3CDTF">2020-11-09T07:22:00Z</dcterms:modified>
</cp:coreProperties>
</file>