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BCF5" w14:textId="77777777" w:rsidR="00617429" w:rsidRPr="00617429" w:rsidRDefault="00617429" w:rsidP="00617429">
      <w:pPr>
        <w:widowControl w:val="0"/>
        <w:autoSpaceDE w:val="0"/>
        <w:autoSpaceDN w:val="0"/>
        <w:spacing w:before="56" w:after="0" w:line="240" w:lineRule="auto"/>
        <w:rPr>
          <w:rFonts w:ascii="Selawik Light" w:eastAsia="Trebuchet MS" w:hAnsi="Selawik Light" w:cs="Times New Roman"/>
          <w:kern w:val="0"/>
          <w14:ligatures w14:val="none"/>
        </w:rPr>
      </w:pPr>
    </w:p>
    <w:p w14:paraId="48E8DBA5" w14:textId="5EFC59D3" w:rsidR="00617429" w:rsidRPr="00617429" w:rsidRDefault="00617429" w:rsidP="00617429">
      <w:pPr>
        <w:widowControl w:val="0"/>
        <w:autoSpaceDE w:val="0"/>
        <w:autoSpaceDN w:val="0"/>
        <w:spacing w:before="56" w:after="0" w:line="240" w:lineRule="auto"/>
        <w:jc w:val="right"/>
        <w:rPr>
          <w:rFonts w:ascii="Selawik Light" w:eastAsia="Trebuchet MS" w:hAnsi="Selawik Light" w:cs="Times New Roman"/>
          <w:kern w:val="0"/>
          <w14:ligatures w14:val="none"/>
        </w:rPr>
      </w:pPr>
      <w:r w:rsidRPr="00FC342A">
        <w:rPr>
          <w:rFonts w:ascii="Selawik Light" w:eastAsia="Trebuchet MS" w:hAnsi="Selawik Light" w:cs="Times New Roman"/>
          <w:kern w:val="0"/>
          <w14:ligatures w14:val="none"/>
        </w:rPr>
        <w:t>Warszawa, 2</w:t>
      </w:r>
      <w:r w:rsidR="00AF771B" w:rsidRPr="00FC342A">
        <w:rPr>
          <w:rFonts w:ascii="Selawik Light" w:eastAsia="Trebuchet MS" w:hAnsi="Selawik Light" w:cs="Times New Roman"/>
          <w:kern w:val="0"/>
          <w14:ligatures w14:val="none"/>
        </w:rPr>
        <w:t>6</w:t>
      </w:r>
      <w:r w:rsidRPr="00FC342A">
        <w:rPr>
          <w:rFonts w:ascii="Selawik Light" w:eastAsia="Trebuchet MS" w:hAnsi="Selawik Light" w:cs="Times New Roman"/>
          <w:kern w:val="0"/>
          <w14:ligatures w14:val="none"/>
        </w:rPr>
        <w:t>.02.2025 r.</w:t>
      </w:r>
    </w:p>
    <w:p w14:paraId="283F1E36" w14:textId="77777777" w:rsidR="00617429" w:rsidRPr="00617429" w:rsidRDefault="00617429" w:rsidP="00617429">
      <w:pPr>
        <w:widowControl w:val="0"/>
        <w:autoSpaceDE w:val="0"/>
        <w:autoSpaceDN w:val="0"/>
        <w:spacing w:before="56" w:after="0" w:line="240" w:lineRule="auto"/>
        <w:jc w:val="right"/>
        <w:rPr>
          <w:rFonts w:ascii="Selawik Light" w:eastAsia="Trebuchet MS" w:hAnsi="Selawik Light" w:cs="Times New Roman"/>
          <w:kern w:val="0"/>
          <w14:ligatures w14:val="none"/>
        </w:rPr>
      </w:pPr>
    </w:p>
    <w:p w14:paraId="1876CC38" w14:textId="77777777" w:rsidR="00617429" w:rsidRPr="00617429" w:rsidRDefault="00617429" w:rsidP="00617429">
      <w:pPr>
        <w:widowControl w:val="0"/>
        <w:autoSpaceDE w:val="0"/>
        <w:autoSpaceDN w:val="0"/>
        <w:spacing w:before="56" w:after="0" w:line="240" w:lineRule="auto"/>
        <w:jc w:val="right"/>
        <w:rPr>
          <w:rFonts w:ascii="Selawik Light" w:eastAsia="Trebuchet MS" w:hAnsi="Selawik Light" w:cs="Times New Roman"/>
          <w:b/>
          <w:bCs/>
          <w:kern w:val="0"/>
          <w14:ligatures w14:val="none"/>
        </w:rPr>
      </w:pPr>
      <w:r w:rsidRPr="00617429">
        <w:rPr>
          <w:rFonts w:ascii="Selawik Light" w:eastAsia="Trebuchet MS" w:hAnsi="Selawik Light" w:cs="Times New Roman"/>
          <w:b/>
          <w:bCs/>
          <w:kern w:val="0"/>
          <w14:ligatures w14:val="none"/>
        </w:rPr>
        <w:t>Strona internetowa prowadzonego postępowania</w:t>
      </w:r>
    </w:p>
    <w:p w14:paraId="20854894" w14:textId="77777777" w:rsidR="00617429" w:rsidRPr="00617429" w:rsidRDefault="00617429" w:rsidP="00617429">
      <w:pPr>
        <w:widowControl w:val="0"/>
        <w:autoSpaceDE w:val="0"/>
        <w:autoSpaceDN w:val="0"/>
        <w:spacing w:before="56" w:after="0" w:line="240" w:lineRule="auto"/>
        <w:jc w:val="right"/>
        <w:rPr>
          <w:rFonts w:ascii="Selawik Light" w:eastAsia="Trebuchet MS" w:hAnsi="Selawik Light" w:cs="Times New Roman"/>
          <w:b/>
          <w:bCs/>
          <w:kern w:val="0"/>
          <w14:ligatures w14:val="none"/>
        </w:rPr>
      </w:pPr>
    </w:p>
    <w:p w14:paraId="343E0D24" w14:textId="4A7DF029" w:rsidR="00617429" w:rsidRDefault="00617429" w:rsidP="00BB0E52">
      <w:pPr>
        <w:widowControl w:val="0"/>
        <w:autoSpaceDE w:val="0"/>
        <w:autoSpaceDN w:val="0"/>
        <w:spacing w:before="56" w:after="0" w:line="240" w:lineRule="auto"/>
        <w:jc w:val="both"/>
        <w:rPr>
          <w:rFonts w:ascii="Selawik Light" w:eastAsia="Trebuchet MS" w:hAnsi="Selawik Light" w:cs="Times New Roman"/>
          <w:b/>
          <w:bCs/>
          <w:kern w:val="0"/>
          <w14:ligatures w14:val="none"/>
        </w:rPr>
      </w:pPr>
      <w:r w:rsidRPr="00617429">
        <w:rPr>
          <w:rFonts w:ascii="Selawik Light" w:eastAsia="Trebuchet MS" w:hAnsi="Selawik Light" w:cs="Times New Roman"/>
          <w:b/>
          <w:bCs/>
          <w:kern w:val="0"/>
          <w14:ligatures w14:val="none"/>
        </w:rPr>
        <w:t xml:space="preserve">Dot. postępowania o udzielenie zamówienia publicznego na </w:t>
      </w:r>
      <w:r w:rsidR="00BB0E52">
        <w:rPr>
          <w:rFonts w:ascii="Selawik Light" w:eastAsia="Trebuchet MS" w:hAnsi="Selawik Light" w:cs="Times New Roman"/>
          <w:b/>
          <w:bCs/>
          <w:kern w:val="0"/>
          <w14:ligatures w14:val="none"/>
        </w:rPr>
        <w:t xml:space="preserve">Świadczenie usług hotelarskich i gastronomicznych wraz z udostępnieniem </w:t>
      </w:r>
      <w:r w:rsidR="008320CC">
        <w:rPr>
          <w:rFonts w:ascii="Selawik Light" w:eastAsia="Trebuchet MS" w:hAnsi="Selawik Light" w:cs="Times New Roman"/>
          <w:b/>
          <w:bCs/>
          <w:kern w:val="0"/>
          <w14:ligatures w14:val="none"/>
        </w:rPr>
        <w:t>s</w:t>
      </w:r>
      <w:r w:rsidR="00BB0E52">
        <w:rPr>
          <w:rFonts w:ascii="Selawik Light" w:eastAsia="Trebuchet MS" w:hAnsi="Selawik Light" w:cs="Times New Roman"/>
          <w:b/>
          <w:bCs/>
          <w:kern w:val="0"/>
          <w14:ligatures w14:val="none"/>
        </w:rPr>
        <w:t xml:space="preserve">ali konferencyjnej </w:t>
      </w:r>
      <w:r w:rsidR="008320CC">
        <w:rPr>
          <w:rFonts w:ascii="Selawik Light" w:eastAsia="Trebuchet MS" w:hAnsi="Selawik Light" w:cs="Times New Roman"/>
          <w:b/>
          <w:bCs/>
          <w:kern w:val="0"/>
          <w14:ligatures w14:val="none"/>
        </w:rPr>
        <w:t>(z dostępem do Internetu) dla łącznie 443 uczestników 4 szkoleń Polskiego FSDN z podziałem na IV Części</w:t>
      </w:r>
      <w:r w:rsidRPr="00617429">
        <w:rPr>
          <w:rFonts w:ascii="Selawik Light" w:eastAsia="Trebuchet MS" w:hAnsi="Selawik Light" w:cs="Times New Roman"/>
          <w:b/>
          <w:bCs/>
          <w:kern w:val="0"/>
          <w14:ligatures w14:val="none"/>
        </w:rPr>
        <w:t xml:space="preserve">. Nr postępowania </w:t>
      </w:r>
      <w:r>
        <w:rPr>
          <w:rFonts w:ascii="Selawik Light" w:eastAsia="Trebuchet MS" w:hAnsi="Selawik Light" w:cs="Times New Roman"/>
          <w:b/>
          <w:bCs/>
          <w:kern w:val="0"/>
          <w14:ligatures w14:val="none"/>
        </w:rPr>
        <w:t>1</w:t>
      </w:r>
      <w:r w:rsidRPr="00617429">
        <w:rPr>
          <w:rFonts w:ascii="Selawik Light" w:eastAsia="Trebuchet MS" w:hAnsi="Selawik Light" w:cs="Times New Roman"/>
          <w:b/>
          <w:bCs/>
          <w:kern w:val="0"/>
          <w14:ligatures w14:val="none"/>
        </w:rPr>
        <w:t>/202</w:t>
      </w:r>
      <w:r>
        <w:rPr>
          <w:rFonts w:ascii="Selawik Light" w:eastAsia="Trebuchet MS" w:hAnsi="Selawik Light" w:cs="Times New Roman"/>
          <w:b/>
          <w:bCs/>
          <w:kern w:val="0"/>
          <w14:ligatures w14:val="none"/>
        </w:rPr>
        <w:t>5</w:t>
      </w:r>
    </w:p>
    <w:p w14:paraId="5B8F42CE" w14:textId="77777777" w:rsidR="00617429" w:rsidRDefault="00617429" w:rsidP="00617429">
      <w:pPr>
        <w:widowControl w:val="0"/>
        <w:autoSpaceDE w:val="0"/>
        <w:autoSpaceDN w:val="0"/>
        <w:spacing w:before="56" w:after="0" w:line="240" w:lineRule="auto"/>
        <w:rPr>
          <w:rFonts w:ascii="Selawik Light" w:eastAsia="Trebuchet MS" w:hAnsi="Selawik Light" w:cs="Times New Roman"/>
          <w:b/>
          <w:bCs/>
          <w:kern w:val="0"/>
          <w14:ligatures w14:val="none"/>
        </w:rPr>
      </w:pPr>
    </w:p>
    <w:p w14:paraId="18F59AED" w14:textId="77777777" w:rsidR="00FC342A" w:rsidRPr="00617429" w:rsidRDefault="00FC342A" w:rsidP="00617429">
      <w:pPr>
        <w:widowControl w:val="0"/>
        <w:autoSpaceDE w:val="0"/>
        <w:autoSpaceDN w:val="0"/>
        <w:spacing w:before="56" w:after="0" w:line="240" w:lineRule="auto"/>
        <w:rPr>
          <w:rFonts w:ascii="Selawik Light" w:eastAsia="Trebuchet MS" w:hAnsi="Selawik Light" w:cs="Times New Roman"/>
          <w:b/>
          <w:bCs/>
          <w:kern w:val="0"/>
          <w14:ligatures w14:val="none"/>
        </w:rPr>
      </w:pPr>
    </w:p>
    <w:p w14:paraId="4B8ADA78" w14:textId="77777777" w:rsidR="00617429" w:rsidRPr="00617429" w:rsidRDefault="00617429" w:rsidP="00617429">
      <w:pPr>
        <w:widowControl w:val="0"/>
        <w:autoSpaceDE w:val="0"/>
        <w:autoSpaceDN w:val="0"/>
        <w:spacing w:before="56" w:after="0" w:line="240" w:lineRule="auto"/>
        <w:jc w:val="center"/>
        <w:rPr>
          <w:rFonts w:ascii="Selawik Light" w:eastAsia="Trebuchet MS" w:hAnsi="Selawik Light" w:cs="Times New Roman"/>
          <w:b/>
          <w:bCs/>
          <w:kern w:val="0"/>
          <w14:ligatures w14:val="none"/>
        </w:rPr>
      </w:pPr>
      <w:r w:rsidRPr="00617429">
        <w:rPr>
          <w:rFonts w:ascii="Selawik Light" w:eastAsia="Trebuchet MS" w:hAnsi="Selawik Light" w:cs="Times New Roman"/>
          <w:b/>
          <w:bCs/>
          <w:kern w:val="0"/>
          <w14:ligatures w14:val="none"/>
        </w:rPr>
        <w:t>WYJAŚNIENIA TREŚCI SWZ</w:t>
      </w:r>
    </w:p>
    <w:p w14:paraId="0436245C" w14:textId="77777777" w:rsidR="00617429" w:rsidRPr="00617429" w:rsidRDefault="00617429" w:rsidP="00B9566F">
      <w:pPr>
        <w:widowControl w:val="0"/>
        <w:autoSpaceDE w:val="0"/>
        <w:autoSpaceDN w:val="0"/>
        <w:spacing w:before="56" w:after="0" w:line="240" w:lineRule="auto"/>
        <w:rPr>
          <w:rFonts w:ascii="Selawik Light" w:eastAsia="Trebuchet MS" w:hAnsi="Selawik Light" w:cs="Times New Roman"/>
          <w:b/>
          <w:bCs/>
          <w:kern w:val="0"/>
          <w14:ligatures w14:val="none"/>
        </w:rPr>
      </w:pPr>
    </w:p>
    <w:p w14:paraId="2C1D8B81" w14:textId="77777777" w:rsidR="00617429" w:rsidRPr="00B9566F" w:rsidRDefault="00617429" w:rsidP="00617429">
      <w:pPr>
        <w:widowControl w:val="0"/>
        <w:autoSpaceDE w:val="0"/>
        <w:autoSpaceDN w:val="0"/>
        <w:spacing w:before="56" w:after="0" w:line="240" w:lineRule="auto"/>
        <w:jc w:val="both"/>
        <w:rPr>
          <w:rFonts w:ascii="Selawik Light" w:eastAsia="Trebuchet MS" w:hAnsi="Selawik Light" w:cs="Times New Roman"/>
          <w:kern w:val="0"/>
          <w14:ligatures w14:val="none"/>
        </w:rPr>
      </w:pPr>
      <w:r w:rsidRPr="00B9566F">
        <w:rPr>
          <w:rFonts w:ascii="Selawik Light" w:eastAsia="Trebuchet MS" w:hAnsi="Selawik Light" w:cs="Times New Roman"/>
          <w:kern w:val="0"/>
          <w14:ligatures w14:val="none"/>
        </w:rPr>
        <w:t xml:space="preserve">Działając na podstawie art. 284 ust. 2 ustawy z dnia 11 września 2019 r. Prawo zamówień publicznych (Dz. U. Dz.U.2024 poz. 1320 z </w:t>
      </w:r>
      <w:proofErr w:type="spellStart"/>
      <w:r w:rsidRPr="00B9566F">
        <w:rPr>
          <w:rFonts w:ascii="Selawik Light" w:eastAsia="Trebuchet MS" w:hAnsi="Selawik Light" w:cs="Times New Roman"/>
          <w:kern w:val="0"/>
          <w14:ligatures w14:val="none"/>
        </w:rPr>
        <w:t>późn</w:t>
      </w:r>
      <w:proofErr w:type="spellEnd"/>
      <w:r w:rsidRPr="00B9566F">
        <w:rPr>
          <w:rFonts w:ascii="Selawik Light" w:eastAsia="Trebuchet MS" w:hAnsi="Selawik Light" w:cs="Times New Roman"/>
          <w:kern w:val="0"/>
          <w14:ligatures w14:val="none"/>
        </w:rPr>
        <w:t>. zm.) Instytut Ekonomiki Rolnictwa i Gospodarki Żywnościowej – Państwowy Instytut Badawczy zwany w dalszej treści „Zamawiającym” udziela wyjaśnień na wnioski o wyjaśnienie treści SWZ, zgłoszone w przedmiotowym postępowaniu.</w:t>
      </w:r>
    </w:p>
    <w:p w14:paraId="047DA28B" w14:textId="77777777" w:rsidR="00617429" w:rsidRPr="00B9566F" w:rsidRDefault="00617429" w:rsidP="00617429">
      <w:pPr>
        <w:widowControl w:val="0"/>
        <w:autoSpaceDE w:val="0"/>
        <w:autoSpaceDN w:val="0"/>
        <w:spacing w:before="56" w:after="0" w:line="240" w:lineRule="auto"/>
        <w:ind w:left="284"/>
        <w:rPr>
          <w:rFonts w:ascii="Selawik Light" w:eastAsia="Trebuchet MS" w:hAnsi="Selawik Light" w:cs="Times New Roman"/>
          <w:kern w:val="0"/>
          <w14:ligatures w14:val="none"/>
        </w:rPr>
      </w:pPr>
    </w:p>
    <w:p w14:paraId="62D15755" w14:textId="77777777" w:rsidR="00617429" w:rsidRPr="00B9566F" w:rsidRDefault="00617429" w:rsidP="00617429">
      <w:pPr>
        <w:widowControl w:val="0"/>
        <w:autoSpaceDE w:val="0"/>
        <w:autoSpaceDN w:val="0"/>
        <w:spacing w:before="56" w:after="0" w:line="240" w:lineRule="auto"/>
        <w:jc w:val="both"/>
        <w:rPr>
          <w:rFonts w:ascii="Selawik Light" w:eastAsia="Trebuchet MS" w:hAnsi="Selawik Light" w:cs="Trebuchet MS"/>
          <w:kern w:val="0"/>
          <w:u w:val="single"/>
          <w14:ligatures w14:val="none"/>
        </w:rPr>
      </w:pPr>
      <w:bookmarkStart w:id="0" w:name="_Hlk171675979"/>
      <w:r w:rsidRPr="00B9566F">
        <w:rPr>
          <w:rFonts w:ascii="Selawik Light" w:eastAsia="Trebuchet MS" w:hAnsi="Selawik Light" w:cs="Trebuchet MS"/>
          <w:kern w:val="0"/>
          <w:u w:val="single"/>
          <w14:ligatures w14:val="none"/>
        </w:rPr>
        <w:t>Pytanie</w:t>
      </w:r>
      <w:bookmarkEnd w:id="0"/>
      <w:r w:rsidRPr="00B9566F">
        <w:rPr>
          <w:rFonts w:ascii="Selawik Light" w:eastAsia="Trebuchet MS" w:hAnsi="Selawik Light" w:cs="Trebuchet MS"/>
          <w:kern w:val="0"/>
          <w:u w:val="single"/>
          <w14:ligatures w14:val="none"/>
        </w:rPr>
        <w:t xml:space="preserve"> 1</w:t>
      </w:r>
    </w:p>
    <w:p w14:paraId="1410317F" w14:textId="104DCE20" w:rsidR="00617429" w:rsidRPr="00B9566F" w:rsidRDefault="00D75049" w:rsidP="00617429">
      <w:pPr>
        <w:tabs>
          <w:tab w:val="left" w:pos="332"/>
        </w:tabs>
        <w:spacing w:line="273" w:lineRule="auto"/>
        <w:contextualSpacing/>
        <w:jc w:val="both"/>
        <w:rPr>
          <w:rFonts w:ascii="Selawik Light" w:eastAsia="Calibri" w:hAnsi="Selawik Light" w:cs="Times New Roman"/>
          <w:color w:val="000000"/>
        </w:rPr>
      </w:pPr>
      <w:r w:rsidRPr="00B9566F">
        <w:rPr>
          <w:rFonts w:ascii="Selawik Light" w:eastAsia="Calibri" w:hAnsi="Selawik Light" w:cs="Times New Roman"/>
          <w:color w:val="000000"/>
        </w:rPr>
        <w:t>Zamawiający w opisie przedmiotu zamówienia wymaga</w:t>
      </w:r>
      <w:r w:rsidR="002C632F" w:rsidRPr="00B9566F">
        <w:rPr>
          <w:rFonts w:ascii="Selawik Light" w:eastAsia="Calibri" w:hAnsi="Selawik Light" w:cs="Times New Roman"/>
          <w:color w:val="000000"/>
        </w:rPr>
        <w:t>:</w:t>
      </w:r>
    </w:p>
    <w:p w14:paraId="7BD11CD3" w14:textId="7D749458" w:rsidR="002C632F" w:rsidRPr="00B9566F" w:rsidRDefault="002C632F" w:rsidP="002C632F">
      <w:pPr>
        <w:pStyle w:val="Akapitzlist"/>
        <w:numPr>
          <w:ilvl w:val="0"/>
          <w:numId w:val="1"/>
        </w:numPr>
        <w:tabs>
          <w:tab w:val="left" w:pos="332"/>
        </w:tabs>
        <w:spacing w:line="273" w:lineRule="auto"/>
        <w:jc w:val="both"/>
        <w:rPr>
          <w:rFonts w:ascii="Selawik Light" w:eastAsia="Calibri" w:hAnsi="Selawik Light" w:cs="Times New Roman"/>
          <w:color w:val="000000"/>
        </w:rPr>
      </w:pPr>
      <w:r w:rsidRPr="00B9566F">
        <w:rPr>
          <w:rFonts w:ascii="Selawik Light" w:eastAsia="Calibri" w:hAnsi="Selawik Light" w:cs="Times New Roman"/>
          <w:color w:val="000000"/>
        </w:rPr>
        <w:t>Obiekt musi spełniać minimum warunki 3-gwiazdkowego hotelu, Zamawiający nie żąda posiadania kategoryzacji. Obiekt oddalony od zgiełku drogi o dużym natężeniu ruchu lokalnego i tranzytowego</w:t>
      </w:r>
      <w:r w:rsidR="00230AB0" w:rsidRPr="00B9566F">
        <w:rPr>
          <w:rFonts w:ascii="Selawik Light" w:eastAsia="Calibri" w:hAnsi="Selawik Light" w:cs="Times New Roman"/>
          <w:color w:val="000000"/>
        </w:rPr>
        <w:t xml:space="preserve"> o co najmniej 100 m, położony w otoczeniu przyrody (las lub park).</w:t>
      </w:r>
    </w:p>
    <w:p w14:paraId="54BC8B25" w14:textId="1C3F7398" w:rsidR="00230AB0" w:rsidRPr="00B9566F" w:rsidRDefault="00230AB0" w:rsidP="002C632F">
      <w:pPr>
        <w:pStyle w:val="Akapitzlist"/>
        <w:numPr>
          <w:ilvl w:val="0"/>
          <w:numId w:val="1"/>
        </w:numPr>
        <w:tabs>
          <w:tab w:val="left" w:pos="332"/>
        </w:tabs>
        <w:spacing w:line="273" w:lineRule="auto"/>
        <w:jc w:val="both"/>
        <w:rPr>
          <w:rFonts w:ascii="Selawik Light" w:eastAsia="Calibri" w:hAnsi="Selawik Light" w:cs="Times New Roman"/>
          <w:color w:val="000000"/>
        </w:rPr>
      </w:pPr>
      <w:r w:rsidRPr="00B9566F">
        <w:rPr>
          <w:rFonts w:ascii="Selawik Light" w:eastAsia="Calibri" w:hAnsi="Selawik Light" w:cs="Times New Roman"/>
          <w:color w:val="000000"/>
        </w:rPr>
        <w:t>Hotel musi być wpisany do Centralnego Wykazu Obiektów Hotelarskich prowadzonego przez Ministerstwo Sportu i Turystyki na podstawie ustawy z dnia 29 sierpnia 1997 r. o usługach hotelarskich oraz usługach pilotów wycieczek i przewodników turystycznych.</w:t>
      </w:r>
    </w:p>
    <w:p w14:paraId="4C4791E7" w14:textId="3C90C85D" w:rsidR="00617429" w:rsidRPr="00B9566F" w:rsidRDefault="00230AB0" w:rsidP="00B9566F">
      <w:pPr>
        <w:pStyle w:val="Akapitzlist"/>
        <w:tabs>
          <w:tab w:val="left" w:pos="332"/>
        </w:tabs>
        <w:spacing w:line="273" w:lineRule="auto"/>
        <w:jc w:val="both"/>
        <w:rPr>
          <w:rFonts w:ascii="Selawik Light" w:eastAsia="Calibri" w:hAnsi="Selawik Light" w:cs="Times New Roman"/>
          <w:color w:val="000000"/>
        </w:rPr>
      </w:pPr>
      <w:r w:rsidRPr="00B9566F">
        <w:rPr>
          <w:rFonts w:ascii="Selawik Light" w:eastAsia="Calibri" w:hAnsi="Selawik Light" w:cs="Times New Roman"/>
          <w:color w:val="000000"/>
        </w:rPr>
        <w:t xml:space="preserve">Są to dwa wykluczające się warunki. Do rejestru, o którym mówi </w:t>
      </w:r>
      <w:r w:rsidR="00E068DB" w:rsidRPr="00B9566F">
        <w:rPr>
          <w:rFonts w:ascii="Selawik Light" w:eastAsia="Calibri" w:hAnsi="Selawik Light" w:cs="Times New Roman"/>
          <w:color w:val="000000"/>
        </w:rPr>
        <w:t>Zamawiający w pkt 2 wpisane są obiekty posiadające kategoryzację. Proszę więc o uściślenie, czy wymagany jest wpis do CWOH, czy też takiego wymogu Zamawiający nie określa i obiekt może spełniać wyłącznie określone standardy.</w:t>
      </w:r>
    </w:p>
    <w:p w14:paraId="70B530AB" w14:textId="77777777" w:rsidR="00617429" w:rsidRPr="00B9566F" w:rsidRDefault="00617429" w:rsidP="00617429">
      <w:pPr>
        <w:tabs>
          <w:tab w:val="left" w:pos="332"/>
        </w:tabs>
        <w:spacing w:line="273" w:lineRule="auto"/>
        <w:ind w:right="1244"/>
        <w:contextualSpacing/>
        <w:jc w:val="both"/>
        <w:rPr>
          <w:rFonts w:ascii="Selawik Light" w:eastAsia="Calibri" w:hAnsi="Selawik Light" w:cs="Times New Roman"/>
          <w:color w:val="000000"/>
          <w:u w:val="single"/>
        </w:rPr>
      </w:pPr>
      <w:r w:rsidRPr="00B9566F">
        <w:rPr>
          <w:rFonts w:ascii="Selawik Light" w:eastAsia="Calibri" w:hAnsi="Selawik Light" w:cs="Times New Roman"/>
          <w:color w:val="000000"/>
          <w:u w:val="single"/>
        </w:rPr>
        <w:t xml:space="preserve">Odpowiedź: </w:t>
      </w:r>
    </w:p>
    <w:p w14:paraId="44AB67E2" w14:textId="427A7DD5" w:rsidR="00617429" w:rsidRPr="00B9566F" w:rsidRDefault="00E2083C" w:rsidP="00617429">
      <w:pPr>
        <w:tabs>
          <w:tab w:val="left" w:pos="332"/>
        </w:tabs>
        <w:spacing w:line="273" w:lineRule="auto"/>
        <w:ind w:right="-144"/>
        <w:contextualSpacing/>
        <w:jc w:val="both"/>
        <w:rPr>
          <w:rFonts w:ascii="Selawik Light" w:eastAsia="Calibri" w:hAnsi="Selawik Light" w:cs="Times New Roman"/>
          <w:color w:val="000000"/>
        </w:rPr>
      </w:pPr>
      <w:bookmarkStart w:id="1" w:name="_Hlk191462384"/>
      <w:r w:rsidRPr="00B9566F">
        <w:rPr>
          <w:rFonts w:ascii="Selawik Light" w:eastAsia="Calibri" w:hAnsi="Selawik Light" w:cs="Times New Roman"/>
          <w:color w:val="000000"/>
        </w:rPr>
        <w:t xml:space="preserve">Obiekt musi posiadać wpis do Centralnego Wykazu Obiektów Hotelarskich prowadzonego </w:t>
      </w:r>
      <w:r w:rsidRPr="00B9566F">
        <w:rPr>
          <w:rFonts w:ascii="Selawik Light" w:eastAsia="Calibri" w:hAnsi="Selawik Light" w:cs="Times New Roman"/>
          <w:color w:val="000000"/>
        </w:rPr>
        <w:t xml:space="preserve">przez Ministerstwo Sportu i Turystyki </w:t>
      </w:r>
      <w:r w:rsidR="00FC342A" w:rsidRPr="00B9566F">
        <w:rPr>
          <w:rFonts w:ascii="Selawik Light" w:eastAsia="Calibri" w:hAnsi="Selawik Light" w:cs="Times New Roman"/>
          <w:color w:val="000000"/>
        </w:rPr>
        <w:t>na podstawie ustawy z dnia 29 sierpnia 1997 r. o usługach hotelarskich oraz usługach pilotów wycieczek i przewodników turystycznych</w:t>
      </w:r>
      <w:r w:rsidR="00FC342A">
        <w:rPr>
          <w:rFonts w:ascii="Selawik Light" w:eastAsia="Calibri" w:hAnsi="Selawik Light" w:cs="Times New Roman"/>
          <w:color w:val="000000"/>
        </w:rPr>
        <w:t xml:space="preserve"> </w:t>
      </w:r>
      <w:r w:rsidRPr="00B9566F">
        <w:rPr>
          <w:rFonts w:ascii="Selawik Light" w:eastAsia="Calibri" w:hAnsi="Selawik Light" w:cs="Times New Roman"/>
          <w:color w:val="000000"/>
        </w:rPr>
        <w:t>i posiadać minimum warunki 3 gwiazdkowego hotelu.</w:t>
      </w:r>
    </w:p>
    <w:p w14:paraId="13EBBCC1" w14:textId="77777777" w:rsidR="00B9566F" w:rsidRPr="00B9566F" w:rsidRDefault="00B9566F" w:rsidP="00617429">
      <w:pPr>
        <w:tabs>
          <w:tab w:val="left" w:pos="332"/>
        </w:tabs>
        <w:spacing w:line="273" w:lineRule="auto"/>
        <w:ind w:right="-144"/>
        <w:contextualSpacing/>
        <w:jc w:val="both"/>
        <w:rPr>
          <w:rFonts w:ascii="Selawik Light" w:eastAsia="Calibri" w:hAnsi="Selawik Light" w:cs="Times New Roman"/>
          <w:color w:val="000000"/>
        </w:rPr>
      </w:pPr>
    </w:p>
    <w:bookmarkEnd w:id="1"/>
    <w:p w14:paraId="7EBD3392" w14:textId="77777777" w:rsidR="00617429" w:rsidRPr="00B9566F" w:rsidRDefault="00617429" w:rsidP="00617429">
      <w:pPr>
        <w:tabs>
          <w:tab w:val="left" w:pos="332"/>
        </w:tabs>
        <w:spacing w:line="273" w:lineRule="auto"/>
        <w:ind w:right="-144"/>
        <w:contextualSpacing/>
        <w:jc w:val="both"/>
        <w:rPr>
          <w:rFonts w:ascii="Selawik Light" w:eastAsia="Calibri" w:hAnsi="Selawik Light" w:cs="Times New Roman"/>
          <w:color w:val="000000"/>
          <w:u w:val="single"/>
        </w:rPr>
      </w:pPr>
      <w:r w:rsidRPr="00B9566F">
        <w:rPr>
          <w:rFonts w:ascii="Selawik Light" w:eastAsia="Calibri" w:hAnsi="Selawik Light" w:cs="Times New Roman"/>
          <w:color w:val="000000"/>
          <w:u w:val="single"/>
        </w:rPr>
        <w:t>Pytanie 2</w:t>
      </w:r>
    </w:p>
    <w:p w14:paraId="527275EE" w14:textId="715165CB" w:rsidR="00B9566F" w:rsidRDefault="00AF771B" w:rsidP="00FC342A">
      <w:pPr>
        <w:tabs>
          <w:tab w:val="left" w:pos="332"/>
        </w:tabs>
        <w:spacing w:line="274" w:lineRule="auto"/>
        <w:ind w:right="-142"/>
        <w:contextualSpacing/>
        <w:jc w:val="both"/>
        <w:rPr>
          <w:rFonts w:ascii="Selawik Light" w:eastAsia="Calibri" w:hAnsi="Selawik Light" w:cs="Times New Roman"/>
          <w:color w:val="000000"/>
          <w:spacing w:val="-2"/>
        </w:rPr>
      </w:pPr>
      <w:r w:rsidRPr="00B9566F">
        <w:rPr>
          <w:rFonts w:ascii="Selawik Light" w:eastAsia="Calibri" w:hAnsi="Selawik Light" w:cs="Times New Roman"/>
          <w:color w:val="000000"/>
          <w:spacing w:val="-2"/>
        </w:rPr>
        <w:t>Proszę o informację czy Zamawiający dopuszcza użycie w sali konferencyjnej krzeseł z pulpitami?</w:t>
      </w:r>
    </w:p>
    <w:p w14:paraId="038A6654" w14:textId="77777777" w:rsidR="00FC342A" w:rsidRPr="00B9566F" w:rsidRDefault="00FC342A" w:rsidP="00FC342A">
      <w:pPr>
        <w:tabs>
          <w:tab w:val="left" w:pos="332"/>
        </w:tabs>
        <w:spacing w:line="274" w:lineRule="auto"/>
        <w:ind w:right="-142"/>
        <w:contextualSpacing/>
        <w:jc w:val="both"/>
        <w:rPr>
          <w:rFonts w:ascii="Selawik Light" w:eastAsia="Calibri" w:hAnsi="Selawik Light" w:cs="Times New Roman"/>
          <w:color w:val="000000"/>
          <w:spacing w:val="-2"/>
        </w:rPr>
      </w:pPr>
    </w:p>
    <w:p w14:paraId="07FBBF53" w14:textId="77777777" w:rsidR="00617429" w:rsidRPr="00B9566F" w:rsidRDefault="00617429" w:rsidP="00FC342A">
      <w:pPr>
        <w:tabs>
          <w:tab w:val="left" w:pos="332"/>
        </w:tabs>
        <w:spacing w:line="274" w:lineRule="auto"/>
        <w:ind w:right="-142"/>
        <w:contextualSpacing/>
        <w:jc w:val="both"/>
        <w:rPr>
          <w:rFonts w:ascii="Selawik Light" w:eastAsia="Calibri" w:hAnsi="Selawik Light" w:cs="Times New Roman"/>
          <w:color w:val="000000"/>
          <w:spacing w:val="-2"/>
          <w:u w:val="single"/>
        </w:rPr>
      </w:pPr>
      <w:r w:rsidRPr="00B9566F">
        <w:rPr>
          <w:rFonts w:ascii="Selawik Light" w:eastAsia="Calibri" w:hAnsi="Selawik Light" w:cs="Times New Roman"/>
          <w:color w:val="000000"/>
          <w:spacing w:val="-2"/>
          <w:u w:val="single"/>
        </w:rPr>
        <w:t>Odpowiedź:</w:t>
      </w:r>
    </w:p>
    <w:p w14:paraId="519A4F59" w14:textId="3916E1FB" w:rsidR="00617429" w:rsidRPr="00B9566F" w:rsidRDefault="00E2083C" w:rsidP="00617429">
      <w:pPr>
        <w:tabs>
          <w:tab w:val="left" w:pos="332"/>
        </w:tabs>
        <w:spacing w:after="0" w:line="240" w:lineRule="auto"/>
        <w:ind w:right="1331"/>
        <w:contextualSpacing/>
        <w:jc w:val="both"/>
        <w:rPr>
          <w:rFonts w:ascii="Selawik Light" w:eastAsia="Calibri" w:hAnsi="Selawik Light" w:cs="Times New Roman"/>
          <w:color w:val="000000"/>
        </w:rPr>
      </w:pPr>
      <w:r w:rsidRPr="00B9566F">
        <w:rPr>
          <w:rFonts w:ascii="Selawik Light" w:eastAsia="Calibri" w:hAnsi="Selawik Light" w:cs="Times New Roman"/>
          <w:color w:val="000000"/>
        </w:rPr>
        <w:t>Zamawiający dopuszcza użycie w Sali konferencyjnej krzeseł z pulpitami.</w:t>
      </w:r>
    </w:p>
    <w:p w14:paraId="2C66734D" w14:textId="77777777" w:rsidR="00FC342A" w:rsidRPr="00B9566F" w:rsidRDefault="00FC342A" w:rsidP="00617429">
      <w:pPr>
        <w:tabs>
          <w:tab w:val="left" w:pos="332"/>
        </w:tabs>
        <w:spacing w:after="0" w:line="240" w:lineRule="auto"/>
        <w:ind w:right="1331"/>
        <w:contextualSpacing/>
        <w:jc w:val="both"/>
        <w:rPr>
          <w:rFonts w:ascii="Selawik Light" w:eastAsia="Calibri" w:hAnsi="Selawik Light" w:cs="Times New Roman"/>
          <w:color w:val="000000"/>
        </w:rPr>
      </w:pPr>
    </w:p>
    <w:p w14:paraId="27E2E412" w14:textId="77777777" w:rsidR="00617429" w:rsidRPr="00B9566F" w:rsidRDefault="00617429" w:rsidP="00617429">
      <w:pPr>
        <w:tabs>
          <w:tab w:val="left" w:pos="332"/>
        </w:tabs>
        <w:spacing w:after="0" w:line="240" w:lineRule="auto"/>
        <w:ind w:right="1331"/>
        <w:contextualSpacing/>
        <w:jc w:val="both"/>
        <w:rPr>
          <w:rFonts w:ascii="Selawik Light" w:eastAsia="Calibri" w:hAnsi="Selawik Light" w:cs="Times New Roman"/>
          <w:color w:val="000000"/>
          <w:u w:val="single"/>
        </w:rPr>
      </w:pPr>
      <w:r w:rsidRPr="00B9566F">
        <w:rPr>
          <w:rFonts w:ascii="Selawik Light" w:eastAsia="Calibri" w:hAnsi="Selawik Light" w:cs="Times New Roman"/>
          <w:color w:val="000000"/>
          <w:u w:val="single"/>
        </w:rPr>
        <w:t>Pytanie 3</w:t>
      </w:r>
    </w:p>
    <w:p w14:paraId="55D7889A" w14:textId="7F28EA4B" w:rsidR="008840E6" w:rsidRPr="00B9566F" w:rsidRDefault="00AF771B" w:rsidP="008840E6">
      <w:pPr>
        <w:pStyle w:val="Akapitzlist"/>
        <w:numPr>
          <w:ilvl w:val="0"/>
          <w:numId w:val="2"/>
        </w:numPr>
        <w:tabs>
          <w:tab w:val="left" w:pos="332"/>
        </w:tabs>
        <w:spacing w:line="273" w:lineRule="auto"/>
        <w:ind w:right="-2"/>
        <w:jc w:val="both"/>
        <w:rPr>
          <w:rFonts w:ascii="Selawik Light" w:eastAsia="Calibri" w:hAnsi="Selawik Light" w:cs="Times New Roman"/>
          <w:color w:val="000000"/>
          <w:spacing w:val="-2"/>
        </w:rPr>
      </w:pPr>
      <w:r w:rsidRPr="00B9566F">
        <w:rPr>
          <w:rFonts w:ascii="Selawik Light" w:eastAsia="Calibri" w:hAnsi="Selawik Light" w:cs="Times New Roman"/>
          <w:color w:val="000000"/>
          <w:spacing w:val="-2"/>
        </w:rPr>
        <w:t xml:space="preserve">Czy obiekty, w których odbędą się szkolenia powinny widnieć w Centralnym Wykazie Obiektów Hotelarskich jako hotele o kategorii 3*? Opis przedmiotu zamówienia zawiera dwa punkty, które są dla na niejasne: </w:t>
      </w:r>
    </w:p>
    <w:p w14:paraId="2DA61176" w14:textId="18F8BF24" w:rsidR="008840E6" w:rsidRPr="00B9566F" w:rsidRDefault="008840E6" w:rsidP="008840E6">
      <w:pPr>
        <w:tabs>
          <w:tab w:val="left" w:pos="332"/>
        </w:tabs>
        <w:spacing w:line="273" w:lineRule="auto"/>
        <w:ind w:right="-2"/>
        <w:contextualSpacing/>
        <w:jc w:val="both"/>
        <w:rPr>
          <w:rFonts w:ascii="Selawik Light" w:eastAsia="Calibri" w:hAnsi="Selawik Light" w:cs="Times New Roman"/>
          <w:color w:val="000000"/>
          <w:spacing w:val="-2"/>
        </w:rPr>
      </w:pPr>
      <w:r w:rsidRPr="00B9566F">
        <w:rPr>
          <w:rFonts w:ascii="Selawik Light" w:eastAsia="Calibri" w:hAnsi="Selawik Light" w:cs="Times New Roman"/>
          <w:color w:val="000000"/>
          <w:spacing w:val="-2"/>
        </w:rPr>
        <w:t xml:space="preserve">1 „Obiekt musi zapełniać minimum warunki 3-gwiazdkowego hotelu., Zamawiający nie </w:t>
      </w:r>
      <w:r w:rsidR="00E2083C" w:rsidRPr="00B9566F">
        <w:rPr>
          <w:rFonts w:ascii="Selawik Light" w:eastAsia="Calibri" w:hAnsi="Selawik Light" w:cs="Times New Roman"/>
          <w:color w:val="000000"/>
          <w:spacing w:val="-2"/>
        </w:rPr>
        <w:t>żąda</w:t>
      </w:r>
      <w:r w:rsidRPr="00B9566F">
        <w:rPr>
          <w:rFonts w:ascii="Selawik Light" w:eastAsia="Calibri" w:hAnsi="Selawik Light" w:cs="Times New Roman"/>
          <w:color w:val="000000"/>
          <w:spacing w:val="-2"/>
        </w:rPr>
        <w:t xml:space="preserve"> posiadania kategoryzacji.</w:t>
      </w:r>
    </w:p>
    <w:p w14:paraId="144B80C2" w14:textId="5FB13D20" w:rsidR="008840E6" w:rsidRPr="00B9566F" w:rsidRDefault="008840E6" w:rsidP="008840E6">
      <w:pPr>
        <w:tabs>
          <w:tab w:val="left" w:pos="332"/>
        </w:tabs>
        <w:spacing w:line="273" w:lineRule="auto"/>
        <w:ind w:right="-2"/>
        <w:contextualSpacing/>
        <w:jc w:val="both"/>
        <w:rPr>
          <w:rFonts w:ascii="Selawik Light" w:eastAsia="Calibri" w:hAnsi="Selawik Light" w:cs="Times New Roman"/>
          <w:color w:val="000000"/>
          <w:spacing w:val="-2"/>
        </w:rPr>
      </w:pPr>
      <w:r w:rsidRPr="00B9566F">
        <w:rPr>
          <w:rFonts w:ascii="Selawik Light" w:eastAsia="Calibri" w:hAnsi="Selawik Light" w:cs="Times New Roman"/>
          <w:color w:val="000000"/>
          <w:spacing w:val="-2"/>
        </w:rPr>
        <w:t>2. Hotel musi być wpisany do Centralnego Wykazu Obiektów Hotelarskich prowadzonego przez Ministerstwo Sportu i Turystyki na podstawie ustawy z dnia 29 sierpnia 1997 r. o usługach hotelarskich oraz o usługach pilotów wycieczek i przewodników turystycznych”.</w:t>
      </w:r>
    </w:p>
    <w:p w14:paraId="38EA2D95" w14:textId="7FC0514D" w:rsidR="008840E6" w:rsidRPr="00B9566F" w:rsidRDefault="008840E6" w:rsidP="008840E6">
      <w:pPr>
        <w:pStyle w:val="Akapitzlist"/>
        <w:numPr>
          <w:ilvl w:val="0"/>
          <w:numId w:val="2"/>
        </w:numPr>
        <w:tabs>
          <w:tab w:val="left" w:pos="332"/>
        </w:tabs>
        <w:spacing w:line="273" w:lineRule="auto"/>
        <w:ind w:right="-2"/>
        <w:jc w:val="both"/>
        <w:rPr>
          <w:rFonts w:ascii="Selawik Light" w:eastAsia="Calibri" w:hAnsi="Selawik Light" w:cs="Times New Roman"/>
          <w:color w:val="000000"/>
          <w:spacing w:val="-2"/>
        </w:rPr>
      </w:pPr>
      <w:r w:rsidRPr="00B9566F">
        <w:rPr>
          <w:rFonts w:ascii="Selawik Light" w:eastAsia="Calibri" w:hAnsi="Selawik Light" w:cs="Times New Roman"/>
          <w:color w:val="000000"/>
          <w:spacing w:val="-2"/>
        </w:rPr>
        <w:t>Zgodnie z opisem przedmiotu zamówienia „Pokoje hotelowe muszą być dostępne dla uczestników spotkania od pierwszego dnia pobytu od godziny 11:00 i do godziny 11:00 w drugim dniu pobytu”. Doba hotelowa w większości obiektów rozpoczyna się o godzinie 14</w:t>
      </w:r>
      <w:r w:rsidR="008D3579" w:rsidRPr="00B9566F">
        <w:rPr>
          <w:rFonts w:ascii="Selawik Light" w:eastAsia="Calibri" w:hAnsi="Selawik Light" w:cs="Times New Roman"/>
          <w:color w:val="000000"/>
          <w:spacing w:val="-2"/>
        </w:rPr>
        <w:t>:00</w:t>
      </w:r>
      <w:r w:rsidRPr="00B9566F">
        <w:rPr>
          <w:rFonts w:ascii="Selawik Light" w:eastAsia="Calibri" w:hAnsi="Selawik Light" w:cs="Times New Roman"/>
          <w:color w:val="000000"/>
          <w:spacing w:val="-2"/>
        </w:rPr>
        <w:t xml:space="preserve"> lub 15:00. Czy </w:t>
      </w:r>
      <w:r w:rsidR="008D3579" w:rsidRPr="00B9566F">
        <w:rPr>
          <w:rFonts w:ascii="Selawik Light" w:eastAsia="Calibri" w:hAnsi="Selawik Light" w:cs="Times New Roman"/>
          <w:color w:val="000000"/>
          <w:spacing w:val="-2"/>
        </w:rPr>
        <w:t>wyrażają Państwo zgodę na zakwaterowanie gości zgodnie z godziną rozpoczęcia doby hotelowej i pozostawienie bagaży w hotelowej przechowalni do czasu zameldowania gości?</w:t>
      </w:r>
    </w:p>
    <w:p w14:paraId="433CD455" w14:textId="49F41316" w:rsidR="00AF771B" w:rsidRPr="00B9566F" w:rsidRDefault="008D3579" w:rsidP="00617429">
      <w:pPr>
        <w:pStyle w:val="Akapitzlist"/>
        <w:numPr>
          <w:ilvl w:val="0"/>
          <w:numId w:val="2"/>
        </w:numPr>
        <w:tabs>
          <w:tab w:val="left" w:pos="332"/>
        </w:tabs>
        <w:spacing w:line="273" w:lineRule="auto"/>
        <w:ind w:right="-2"/>
        <w:jc w:val="both"/>
        <w:rPr>
          <w:rFonts w:ascii="Selawik Light" w:eastAsia="Calibri" w:hAnsi="Selawik Light" w:cs="Times New Roman"/>
          <w:color w:val="000000"/>
          <w:spacing w:val="-2"/>
        </w:rPr>
      </w:pPr>
      <w:r w:rsidRPr="00B9566F">
        <w:rPr>
          <w:rFonts w:ascii="Selawik Light" w:eastAsia="Calibri" w:hAnsi="Selawik Light" w:cs="Times New Roman"/>
          <w:color w:val="000000"/>
          <w:spacing w:val="-2"/>
        </w:rPr>
        <w:t xml:space="preserve">Wykonawca powinien również zapewnić sale konferencyjną na szkolenia, w związku z tym prosimy o uzupełnienie formularza ofertowego o pozycję z ceną </w:t>
      </w:r>
      <w:r w:rsidR="003A6706" w:rsidRPr="00B9566F">
        <w:rPr>
          <w:rFonts w:ascii="Selawik Light" w:eastAsia="Calibri" w:hAnsi="Selawik Light" w:cs="Times New Roman"/>
          <w:color w:val="000000"/>
          <w:spacing w:val="-2"/>
        </w:rPr>
        <w:t>s</w:t>
      </w:r>
      <w:r w:rsidRPr="00B9566F">
        <w:rPr>
          <w:rFonts w:ascii="Selawik Light" w:eastAsia="Calibri" w:hAnsi="Selawik Light" w:cs="Times New Roman"/>
          <w:color w:val="000000"/>
          <w:spacing w:val="-2"/>
        </w:rPr>
        <w:t>ali konferencyjnej.</w:t>
      </w:r>
    </w:p>
    <w:p w14:paraId="53EDCDE4" w14:textId="77777777" w:rsidR="00617429" w:rsidRPr="00B9566F" w:rsidRDefault="00617429" w:rsidP="00617429">
      <w:pPr>
        <w:tabs>
          <w:tab w:val="left" w:pos="332"/>
        </w:tabs>
        <w:spacing w:line="273" w:lineRule="auto"/>
        <w:ind w:right="-2"/>
        <w:contextualSpacing/>
        <w:jc w:val="both"/>
        <w:rPr>
          <w:rFonts w:ascii="Selawik Light" w:eastAsia="Calibri" w:hAnsi="Selawik Light" w:cs="Times New Roman"/>
          <w:color w:val="000000"/>
          <w:spacing w:val="-2"/>
          <w:u w:val="single"/>
        </w:rPr>
      </w:pPr>
      <w:r w:rsidRPr="00B9566F">
        <w:rPr>
          <w:rFonts w:ascii="Selawik Light" w:eastAsia="Calibri" w:hAnsi="Selawik Light" w:cs="Times New Roman"/>
          <w:color w:val="000000"/>
          <w:spacing w:val="-2"/>
          <w:u w:val="single"/>
        </w:rPr>
        <w:t>Odpowiedź:</w:t>
      </w:r>
    </w:p>
    <w:p w14:paraId="38E9D517" w14:textId="19767ADC" w:rsidR="00E2083C" w:rsidRPr="00B9566F" w:rsidRDefault="00E2083C" w:rsidP="00E2083C">
      <w:pPr>
        <w:tabs>
          <w:tab w:val="left" w:pos="332"/>
        </w:tabs>
        <w:spacing w:line="273" w:lineRule="auto"/>
        <w:ind w:right="-144"/>
        <w:contextualSpacing/>
        <w:jc w:val="both"/>
        <w:rPr>
          <w:rFonts w:ascii="Selawik Light" w:eastAsia="Calibri" w:hAnsi="Selawik Light" w:cs="Times New Roman"/>
          <w:color w:val="000000"/>
        </w:rPr>
      </w:pPr>
      <w:r w:rsidRPr="00B9566F">
        <w:rPr>
          <w:rFonts w:ascii="Selawik Light" w:eastAsia="Calibri" w:hAnsi="Selawik Light" w:cs="Times New Roman"/>
          <w:color w:val="000000"/>
        </w:rPr>
        <w:t xml:space="preserve">Obiekt musi posiadać wpis do Centralnego Wykazu Obiektów Hotelarskich prowadzonego  przez Ministerstwo Sportu i Turystyki </w:t>
      </w:r>
      <w:r w:rsidR="00E12FEB" w:rsidRPr="00B9566F">
        <w:rPr>
          <w:rFonts w:ascii="Selawik Light" w:eastAsia="Calibri" w:hAnsi="Selawik Light" w:cs="Times New Roman"/>
          <w:color w:val="000000"/>
        </w:rPr>
        <w:t>na podstawie ustawy z dnia 29 sierpnia 1997 r. o usługach hotelarskich oraz usługach pilotów wycieczek i przewodników turystycznych</w:t>
      </w:r>
      <w:r w:rsidR="00E12FEB">
        <w:rPr>
          <w:rFonts w:ascii="Selawik Light" w:eastAsia="Calibri" w:hAnsi="Selawik Light" w:cs="Times New Roman"/>
          <w:color w:val="000000"/>
        </w:rPr>
        <w:t xml:space="preserve"> </w:t>
      </w:r>
      <w:r w:rsidRPr="00B9566F">
        <w:rPr>
          <w:rFonts w:ascii="Selawik Light" w:eastAsia="Calibri" w:hAnsi="Selawik Light" w:cs="Times New Roman"/>
          <w:color w:val="000000"/>
        </w:rPr>
        <w:t>i posiadać minimum warunki 3 gwiazdkowego hotelu.</w:t>
      </w:r>
    </w:p>
    <w:p w14:paraId="61340CA7" w14:textId="6796134D" w:rsidR="00E2083C" w:rsidRPr="00B9566F" w:rsidRDefault="00E2083C" w:rsidP="00E2083C">
      <w:pPr>
        <w:tabs>
          <w:tab w:val="left" w:pos="332"/>
        </w:tabs>
        <w:spacing w:line="273" w:lineRule="auto"/>
        <w:ind w:right="-144"/>
        <w:contextualSpacing/>
        <w:jc w:val="both"/>
        <w:rPr>
          <w:rFonts w:ascii="Selawik Light" w:eastAsia="Calibri" w:hAnsi="Selawik Light" w:cs="Times New Roman"/>
          <w:color w:val="000000"/>
        </w:rPr>
      </w:pPr>
      <w:r w:rsidRPr="00B9566F">
        <w:rPr>
          <w:rFonts w:ascii="Selawik Light" w:eastAsia="Calibri" w:hAnsi="Selawik Light" w:cs="Times New Roman"/>
          <w:color w:val="000000"/>
        </w:rPr>
        <w:t xml:space="preserve">Pokoje muszą być dostępne dla uczestników spotkania najpóźniej od godziny 12:00 </w:t>
      </w:r>
      <w:r w:rsidR="003A6706" w:rsidRPr="00B9566F">
        <w:rPr>
          <w:rFonts w:ascii="Selawik Light" w:eastAsia="Calibri" w:hAnsi="Selawik Light" w:cs="Times New Roman"/>
          <w:color w:val="000000"/>
        </w:rPr>
        <w:t>w pierwszym dniu pobytu.</w:t>
      </w:r>
    </w:p>
    <w:p w14:paraId="61EFB79D" w14:textId="59B8CDC9" w:rsidR="00617429" w:rsidRPr="00B9566F" w:rsidRDefault="003A6706" w:rsidP="003A6706">
      <w:pPr>
        <w:tabs>
          <w:tab w:val="left" w:pos="332"/>
        </w:tabs>
        <w:spacing w:line="273" w:lineRule="auto"/>
        <w:ind w:right="-144"/>
        <w:contextualSpacing/>
        <w:jc w:val="both"/>
        <w:rPr>
          <w:rFonts w:ascii="Selawik Light" w:eastAsia="Calibri" w:hAnsi="Selawik Light" w:cs="Times New Roman"/>
          <w:color w:val="000000"/>
        </w:rPr>
      </w:pPr>
      <w:r w:rsidRPr="00B9566F">
        <w:rPr>
          <w:rFonts w:ascii="Selawik Light" w:eastAsia="Calibri" w:hAnsi="Selawik Light" w:cs="Times New Roman"/>
          <w:color w:val="000000"/>
        </w:rPr>
        <w:t xml:space="preserve">Zamawiający nie wyraża zgodny na uzupełnienie formularza oferty o pozycję z ceną sali konferencyjnej. </w:t>
      </w:r>
    </w:p>
    <w:p w14:paraId="4329D075" w14:textId="77777777" w:rsidR="00B9566F" w:rsidRPr="00B9566F" w:rsidRDefault="00B9566F" w:rsidP="003A6706">
      <w:pPr>
        <w:tabs>
          <w:tab w:val="left" w:pos="332"/>
        </w:tabs>
        <w:spacing w:line="273" w:lineRule="auto"/>
        <w:ind w:right="-144"/>
        <w:contextualSpacing/>
        <w:jc w:val="both"/>
        <w:rPr>
          <w:rFonts w:ascii="Selawik Light" w:eastAsia="Calibri" w:hAnsi="Selawik Light" w:cs="Times New Roman"/>
          <w:color w:val="000000"/>
        </w:rPr>
      </w:pPr>
    </w:p>
    <w:p w14:paraId="660F88AB" w14:textId="362F02E7" w:rsidR="00617429" w:rsidRPr="00B9566F" w:rsidRDefault="00617429" w:rsidP="00617429">
      <w:pPr>
        <w:tabs>
          <w:tab w:val="left" w:pos="332"/>
        </w:tabs>
        <w:spacing w:after="0" w:line="240" w:lineRule="auto"/>
        <w:ind w:right="-2"/>
        <w:contextualSpacing/>
        <w:jc w:val="both"/>
        <w:rPr>
          <w:rFonts w:ascii="Selawik Light" w:eastAsia="Calibri" w:hAnsi="Selawik Light" w:cs="Times New Roman"/>
          <w:color w:val="000000"/>
          <w:u w:val="single"/>
        </w:rPr>
      </w:pPr>
      <w:r w:rsidRPr="00B9566F">
        <w:rPr>
          <w:rFonts w:ascii="Selawik Light" w:eastAsia="Calibri" w:hAnsi="Selawik Light" w:cs="Times New Roman"/>
          <w:color w:val="000000"/>
          <w:u w:val="single"/>
        </w:rPr>
        <w:t>Pytanie 4</w:t>
      </w:r>
    </w:p>
    <w:p w14:paraId="4F36D84D" w14:textId="6B247681" w:rsidR="008D3579" w:rsidRPr="00B9566F" w:rsidRDefault="008D3579" w:rsidP="00617429">
      <w:pPr>
        <w:tabs>
          <w:tab w:val="left" w:pos="332"/>
        </w:tabs>
        <w:spacing w:after="0" w:line="240" w:lineRule="auto"/>
        <w:ind w:right="-2"/>
        <w:contextualSpacing/>
        <w:jc w:val="both"/>
        <w:rPr>
          <w:rFonts w:ascii="Selawik Light" w:eastAsia="Calibri" w:hAnsi="Selawik Light" w:cs="Times New Roman"/>
          <w:color w:val="000000"/>
          <w:spacing w:val="-2"/>
        </w:rPr>
      </w:pPr>
      <w:r w:rsidRPr="00B9566F">
        <w:rPr>
          <w:rFonts w:ascii="Selawik Light" w:eastAsia="Calibri" w:hAnsi="Selawik Light" w:cs="Times New Roman"/>
          <w:color w:val="000000"/>
          <w:spacing w:val="-2"/>
        </w:rPr>
        <w:t>Proszę o wyjaśnienie możliwości podpisania dokumentów: na stronie platforma zakupowa.pl jest informacja o możliwości podpisu:</w:t>
      </w:r>
    </w:p>
    <w:p w14:paraId="56D4A8CD" w14:textId="450A41B8" w:rsidR="008D3579" w:rsidRPr="00B9566F" w:rsidRDefault="008D3579" w:rsidP="00617429">
      <w:pPr>
        <w:tabs>
          <w:tab w:val="left" w:pos="332"/>
        </w:tabs>
        <w:spacing w:after="0" w:line="240" w:lineRule="auto"/>
        <w:ind w:right="-2"/>
        <w:contextualSpacing/>
        <w:jc w:val="both"/>
        <w:rPr>
          <w:rFonts w:ascii="Selawik Light" w:eastAsia="Calibri" w:hAnsi="Selawik Light" w:cs="Times New Roman"/>
          <w:color w:val="000000"/>
          <w:spacing w:val="-2"/>
        </w:rPr>
      </w:pPr>
      <w:r w:rsidRPr="00B9566F">
        <w:rPr>
          <w:rFonts w:ascii="Selawik Light" w:eastAsia="Calibri" w:hAnsi="Selawik Light" w:cs="Times New Roman"/>
          <w:color w:val="000000"/>
          <w:spacing w:val="-2"/>
        </w:rPr>
        <w:t>- podpisem kwalifikowanym</w:t>
      </w:r>
    </w:p>
    <w:p w14:paraId="3E4A375C" w14:textId="08867F02" w:rsidR="008D3579" w:rsidRPr="00B9566F" w:rsidRDefault="008D3579" w:rsidP="00617429">
      <w:pPr>
        <w:tabs>
          <w:tab w:val="left" w:pos="332"/>
        </w:tabs>
        <w:spacing w:after="0" w:line="240" w:lineRule="auto"/>
        <w:ind w:right="-2"/>
        <w:contextualSpacing/>
        <w:jc w:val="both"/>
        <w:rPr>
          <w:rFonts w:ascii="Selawik Light" w:eastAsia="Calibri" w:hAnsi="Selawik Light" w:cs="Times New Roman"/>
          <w:color w:val="000000"/>
          <w:spacing w:val="-2"/>
        </w:rPr>
      </w:pPr>
      <w:r w:rsidRPr="00B9566F">
        <w:rPr>
          <w:rFonts w:ascii="Selawik Light" w:eastAsia="Calibri" w:hAnsi="Selawik Light" w:cs="Times New Roman"/>
          <w:color w:val="000000"/>
          <w:spacing w:val="-2"/>
        </w:rPr>
        <w:t>-podpisem elektroniczny</w:t>
      </w:r>
    </w:p>
    <w:p w14:paraId="1CA2E2A0" w14:textId="08576E09" w:rsidR="00E2083C" w:rsidRPr="00B9566F" w:rsidRDefault="00E2083C" w:rsidP="00617429">
      <w:pPr>
        <w:tabs>
          <w:tab w:val="left" w:pos="332"/>
        </w:tabs>
        <w:spacing w:after="0" w:line="240" w:lineRule="auto"/>
        <w:ind w:right="-2"/>
        <w:contextualSpacing/>
        <w:jc w:val="both"/>
        <w:rPr>
          <w:rFonts w:ascii="Selawik Light" w:eastAsia="Calibri" w:hAnsi="Selawik Light" w:cs="Times New Roman"/>
          <w:color w:val="000000"/>
          <w:spacing w:val="-2"/>
        </w:rPr>
      </w:pPr>
      <w:r w:rsidRPr="00B9566F">
        <w:rPr>
          <w:rFonts w:ascii="Selawik Light" w:eastAsia="Calibri" w:hAnsi="Selawik Light" w:cs="Times New Roman"/>
          <w:color w:val="000000"/>
          <w:spacing w:val="-2"/>
        </w:rPr>
        <w:t>-zaufanym</w:t>
      </w:r>
    </w:p>
    <w:p w14:paraId="598A2F55" w14:textId="4CC0E7AD" w:rsidR="008D3579" w:rsidRDefault="00E2083C" w:rsidP="00FC342A">
      <w:pPr>
        <w:tabs>
          <w:tab w:val="left" w:pos="332"/>
        </w:tabs>
        <w:spacing w:line="274" w:lineRule="auto"/>
        <w:contextualSpacing/>
        <w:jc w:val="both"/>
        <w:rPr>
          <w:rFonts w:ascii="Selawik Light" w:eastAsia="Calibri" w:hAnsi="Selawik Light" w:cs="Times New Roman"/>
          <w:color w:val="000000"/>
          <w:spacing w:val="-2"/>
        </w:rPr>
      </w:pPr>
      <w:r w:rsidRPr="00B9566F">
        <w:rPr>
          <w:rFonts w:ascii="Selawik Light" w:eastAsia="Calibri" w:hAnsi="Selawik Light" w:cs="Times New Roman"/>
          <w:color w:val="000000"/>
          <w:spacing w:val="-2"/>
        </w:rPr>
        <w:lastRenderedPageBreak/>
        <w:t>Natomiast w dokumentach istnieje również możliwość podpisania podpisem osobistym. Czy dokument z podpisem osobistym zostanie uznany w przetargu?</w:t>
      </w:r>
    </w:p>
    <w:p w14:paraId="176BBEE2" w14:textId="77777777" w:rsidR="00FC342A" w:rsidRPr="00B9566F" w:rsidRDefault="00FC342A" w:rsidP="00FC342A">
      <w:pPr>
        <w:tabs>
          <w:tab w:val="left" w:pos="332"/>
        </w:tabs>
        <w:spacing w:line="274" w:lineRule="auto"/>
        <w:contextualSpacing/>
        <w:jc w:val="both"/>
        <w:rPr>
          <w:rFonts w:ascii="Selawik Light" w:eastAsia="Calibri" w:hAnsi="Selawik Light" w:cs="Times New Roman"/>
          <w:color w:val="000000"/>
          <w:spacing w:val="-2"/>
        </w:rPr>
      </w:pPr>
    </w:p>
    <w:p w14:paraId="7CFAF6DD" w14:textId="238CAE89" w:rsidR="00617429" w:rsidRPr="00B9566F" w:rsidRDefault="00617429" w:rsidP="00FC342A">
      <w:pPr>
        <w:tabs>
          <w:tab w:val="left" w:pos="332"/>
        </w:tabs>
        <w:spacing w:line="274" w:lineRule="auto"/>
        <w:contextualSpacing/>
        <w:jc w:val="both"/>
        <w:rPr>
          <w:rFonts w:ascii="Selawik Light" w:eastAsia="Calibri" w:hAnsi="Selawik Light" w:cs="Times New Roman"/>
          <w:color w:val="000000"/>
          <w:spacing w:val="-2"/>
          <w:u w:val="single"/>
        </w:rPr>
      </w:pPr>
      <w:r w:rsidRPr="00B9566F">
        <w:rPr>
          <w:rFonts w:ascii="Selawik Light" w:eastAsia="Calibri" w:hAnsi="Selawik Light" w:cs="Times New Roman"/>
          <w:color w:val="000000"/>
          <w:spacing w:val="-2"/>
          <w:u w:val="single"/>
        </w:rPr>
        <w:t>Odpowiedź</w:t>
      </w:r>
      <w:r w:rsidR="003A6706" w:rsidRPr="00B9566F">
        <w:rPr>
          <w:rFonts w:ascii="Selawik Light" w:eastAsia="Calibri" w:hAnsi="Selawik Light" w:cs="Times New Roman"/>
          <w:color w:val="000000"/>
          <w:spacing w:val="-2"/>
          <w:u w:val="single"/>
        </w:rPr>
        <w:t>:</w:t>
      </w:r>
    </w:p>
    <w:p w14:paraId="0637C731" w14:textId="5C64F281" w:rsidR="00B9566F" w:rsidRPr="00FC342A" w:rsidRDefault="003A6706" w:rsidP="00FC342A">
      <w:pPr>
        <w:tabs>
          <w:tab w:val="left" w:pos="332"/>
        </w:tabs>
        <w:spacing w:after="0" w:line="240" w:lineRule="auto"/>
        <w:ind w:right="-2"/>
        <w:contextualSpacing/>
        <w:jc w:val="both"/>
        <w:rPr>
          <w:rFonts w:ascii="Selawik Light" w:eastAsia="Calibri" w:hAnsi="Selawik Light" w:cs="Times New Roman"/>
          <w:color w:val="000000"/>
          <w:spacing w:val="-2"/>
        </w:rPr>
      </w:pPr>
      <w:r w:rsidRPr="00B9566F">
        <w:rPr>
          <w:rFonts w:ascii="Selawik Light" w:eastAsia="Calibri" w:hAnsi="Selawik Light" w:cs="Times New Roman"/>
          <w:color w:val="000000"/>
          <w:spacing w:val="-2"/>
        </w:rPr>
        <w:t xml:space="preserve">Zgodnie z art. 63 ust.2 ustawy Prawo zamówień publicznych </w:t>
      </w:r>
      <w:r w:rsidR="00B9566F" w:rsidRPr="00B9566F">
        <w:rPr>
          <w:rFonts w:ascii="Selawik Light" w:eastAsia="Calibri" w:hAnsi="Selawik Light" w:cs="Times New Roman"/>
          <w:color w:val="000000"/>
          <w:spacing w:val="-2"/>
        </w:rPr>
        <w:t>w postępowaniu o udzielenie zamówienia lub konkursie o wartości mniejszej niż progi unijne ofertę,, oświadczenia , o których mowa w art. 125 ust.1, składa się, pod rygorem nieważności, w formie elektronicznej lub postaci elektronicznej opatrzonej [podpisem zaufanym lub podpisem osobistym.</w:t>
      </w:r>
    </w:p>
    <w:sectPr w:rsidR="00B9566F" w:rsidRPr="00FC342A" w:rsidSect="00617429">
      <w:headerReference w:type="default" r:id="rId7"/>
      <w:footerReference w:type="default" r:id="rId8"/>
      <w:pgSz w:w="11906" w:h="16838"/>
      <w:pgMar w:top="1967" w:right="1418" w:bottom="1985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FE055" w14:textId="77777777" w:rsidR="00EB5B17" w:rsidRDefault="00EB5B17">
      <w:pPr>
        <w:spacing w:after="0" w:line="240" w:lineRule="auto"/>
      </w:pPr>
      <w:r>
        <w:separator/>
      </w:r>
    </w:p>
  </w:endnote>
  <w:endnote w:type="continuationSeparator" w:id="0">
    <w:p w14:paraId="559DEADD" w14:textId="77777777" w:rsidR="00EB5B17" w:rsidRDefault="00EB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73BBB" w14:textId="77777777" w:rsidR="00650A70" w:rsidRPr="00D30470" w:rsidRDefault="00000000" w:rsidP="00734B01">
    <w:pPr>
      <w:pStyle w:val="Stopka"/>
    </w:pPr>
    <w:r w:rsidRPr="00D30470">
      <w:rPr>
        <w:noProof/>
      </w:rPr>
      <w:drawing>
        <wp:anchor distT="0" distB="0" distL="114300" distR="114300" simplePos="0" relativeHeight="251659264" behindDoc="0" locked="0" layoutInCell="1" allowOverlap="1" wp14:anchorId="196C411F" wp14:editId="690AF3F0">
          <wp:simplePos x="0" y="0"/>
          <wp:positionH relativeFrom="column">
            <wp:posOffset>-748030</wp:posOffset>
          </wp:positionH>
          <wp:positionV relativeFrom="paragraph">
            <wp:posOffset>-404495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5446590" name="Obraz 544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D41E8" w14:textId="77777777" w:rsidR="00EB5B17" w:rsidRDefault="00EB5B17">
      <w:pPr>
        <w:spacing w:after="0" w:line="240" w:lineRule="auto"/>
      </w:pPr>
      <w:r>
        <w:separator/>
      </w:r>
    </w:p>
  </w:footnote>
  <w:footnote w:type="continuationSeparator" w:id="0">
    <w:p w14:paraId="3E5E8CCA" w14:textId="77777777" w:rsidR="00EB5B17" w:rsidRDefault="00EB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1E461" w14:textId="77777777" w:rsidR="00650A70" w:rsidRPr="00D30470" w:rsidRDefault="00000000" w:rsidP="00EA468D">
    <w:pPr>
      <w:pStyle w:val="Nagwek"/>
      <w:ind w:left="-1134"/>
    </w:pPr>
    <w:r w:rsidRPr="00D30470">
      <w:rPr>
        <w:noProof/>
      </w:rPr>
      <w:drawing>
        <wp:inline distT="0" distB="0" distL="0" distR="0" wp14:anchorId="1753A1E3" wp14:editId="7E763F6D">
          <wp:extent cx="7590155" cy="944880"/>
          <wp:effectExtent l="0" t="0" r="0" b="7620"/>
          <wp:docPr id="271070947" name="Obraz 27107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D1242"/>
    <w:multiLevelType w:val="hybridMultilevel"/>
    <w:tmpl w:val="A0CE6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A3BCF"/>
    <w:multiLevelType w:val="hybridMultilevel"/>
    <w:tmpl w:val="978EB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963045">
    <w:abstractNumId w:val="0"/>
  </w:num>
  <w:num w:numId="2" w16cid:durableId="707030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ED4"/>
    <w:rsid w:val="00230AB0"/>
    <w:rsid w:val="002C632F"/>
    <w:rsid w:val="003A6706"/>
    <w:rsid w:val="00570D62"/>
    <w:rsid w:val="00617429"/>
    <w:rsid w:val="00650A70"/>
    <w:rsid w:val="00716C62"/>
    <w:rsid w:val="007A2ED4"/>
    <w:rsid w:val="007A54C8"/>
    <w:rsid w:val="008320CC"/>
    <w:rsid w:val="008840E6"/>
    <w:rsid w:val="008D3579"/>
    <w:rsid w:val="008F5A5D"/>
    <w:rsid w:val="009C29B5"/>
    <w:rsid w:val="00A5560D"/>
    <w:rsid w:val="00AB6F48"/>
    <w:rsid w:val="00AF771B"/>
    <w:rsid w:val="00B9566F"/>
    <w:rsid w:val="00BB0E52"/>
    <w:rsid w:val="00C37DC0"/>
    <w:rsid w:val="00D75049"/>
    <w:rsid w:val="00DD0326"/>
    <w:rsid w:val="00E068DB"/>
    <w:rsid w:val="00E12FEB"/>
    <w:rsid w:val="00E2083C"/>
    <w:rsid w:val="00EB5B17"/>
    <w:rsid w:val="00F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C824"/>
  <w15:chartTrackingRefBased/>
  <w15:docId w15:val="{3881A6D8-33A3-420B-B7CC-9A4AAA0C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2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2E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2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E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2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2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2E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2E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E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2E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2E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E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E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2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2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2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2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2E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2E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2E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2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2E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2ED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61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7429"/>
  </w:style>
  <w:style w:type="paragraph" w:styleId="Stopka">
    <w:name w:val="footer"/>
    <w:basedOn w:val="Normalny"/>
    <w:link w:val="StopkaZnak"/>
    <w:uiPriority w:val="99"/>
    <w:semiHidden/>
    <w:unhideWhenUsed/>
    <w:rsid w:val="00617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742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40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40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40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Król</dc:creator>
  <cp:keywords/>
  <dc:description/>
  <cp:lastModifiedBy>Hankiewicz Anna</cp:lastModifiedBy>
  <cp:revision>2</cp:revision>
  <dcterms:created xsi:type="dcterms:W3CDTF">2025-02-26T11:14:00Z</dcterms:created>
  <dcterms:modified xsi:type="dcterms:W3CDTF">2025-02-26T11:14:00Z</dcterms:modified>
</cp:coreProperties>
</file>