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3DA3" w14:textId="2C8F7667" w:rsidR="002B5B72" w:rsidRPr="00BC5423" w:rsidRDefault="00DC23E8" w:rsidP="00BC5423">
      <w:pPr>
        <w:pStyle w:val="Akapitzlist"/>
        <w:keepNext/>
        <w:spacing w:line="360" w:lineRule="auto"/>
        <w:ind w:left="360"/>
        <w:jc w:val="right"/>
        <w:outlineLvl w:val="0"/>
        <w:rPr>
          <w:rFonts w:asciiTheme="minorHAnsi" w:hAnsiTheme="minorHAnsi" w:cstheme="minorHAnsi"/>
          <w:b/>
          <w:kern w:val="32"/>
        </w:rPr>
      </w:pPr>
      <w:r w:rsidRPr="00BC5423">
        <w:rPr>
          <w:rFonts w:asciiTheme="minorHAnsi" w:eastAsia="Calibri" w:hAnsiTheme="minorHAnsi" w:cstheme="minorHAnsi"/>
          <w:b/>
          <w:bCs/>
        </w:rPr>
        <w:t xml:space="preserve">Załącznik nr </w:t>
      </w:r>
      <w:r w:rsidR="00385E46">
        <w:rPr>
          <w:rFonts w:asciiTheme="minorHAnsi" w:eastAsia="Calibri" w:hAnsiTheme="minorHAnsi" w:cstheme="minorHAnsi"/>
          <w:b/>
          <w:bCs/>
        </w:rPr>
        <w:t xml:space="preserve">1 </w:t>
      </w:r>
      <w:r w:rsidR="00CB7577" w:rsidRPr="00BC5423">
        <w:rPr>
          <w:rFonts w:asciiTheme="minorHAnsi" w:eastAsia="Calibri" w:hAnsiTheme="minorHAnsi" w:cstheme="minorHAnsi"/>
          <w:b/>
          <w:bCs/>
        </w:rPr>
        <w:t>do SWZ</w:t>
      </w:r>
      <w:r w:rsidRPr="00BC5423">
        <w:rPr>
          <w:rFonts w:asciiTheme="minorHAnsi" w:eastAsia="Calibri" w:hAnsiTheme="minorHAnsi" w:cstheme="minorHAnsi"/>
          <w:b/>
          <w:bCs/>
        </w:rPr>
        <w:t xml:space="preserve"> </w:t>
      </w:r>
    </w:p>
    <w:p w14:paraId="23788017" w14:textId="77777777" w:rsidR="00763552" w:rsidRPr="00BC5423" w:rsidRDefault="008B3CB6" w:rsidP="00BC5423">
      <w:pPr>
        <w:tabs>
          <w:tab w:val="left" w:pos="7590"/>
        </w:tabs>
        <w:spacing w:line="360" w:lineRule="auto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ab/>
      </w:r>
    </w:p>
    <w:p w14:paraId="60D6BF15" w14:textId="5422691F" w:rsidR="00763552" w:rsidRPr="00BC5423" w:rsidRDefault="00763552" w:rsidP="00BC542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C5423">
        <w:rPr>
          <w:rFonts w:asciiTheme="minorHAnsi" w:hAnsiTheme="minorHAnsi" w:cstheme="minorHAnsi"/>
          <w:b/>
        </w:rPr>
        <w:t>OPIS PRZEDMIOTU ZAMÓWIENIA</w:t>
      </w:r>
    </w:p>
    <w:p w14:paraId="296D6278" w14:textId="77777777" w:rsidR="00763552" w:rsidRPr="00BC5423" w:rsidRDefault="00763552" w:rsidP="00BC5423">
      <w:pPr>
        <w:spacing w:line="360" w:lineRule="auto"/>
        <w:rPr>
          <w:rFonts w:asciiTheme="minorHAnsi" w:hAnsiTheme="minorHAnsi" w:cstheme="minorHAnsi"/>
          <w:b/>
        </w:rPr>
      </w:pPr>
    </w:p>
    <w:p w14:paraId="64676744" w14:textId="77777777" w:rsidR="00763552" w:rsidRPr="00BC5423" w:rsidRDefault="005541AF" w:rsidP="00BC5423">
      <w:pPr>
        <w:numPr>
          <w:ilvl w:val="0"/>
          <w:numId w:val="1"/>
        </w:numPr>
        <w:spacing w:after="240" w:line="360" w:lineRule="auto"/>
        <w:ind w:left="493" w:hanging="425"/>
        <w:rPr>
          <w:rFonts w:asciiTheme="minorHAnsi" w:hAnsiTheme="minorHAnsi" w:cstheme="minorHAnsi"/>
          <w:b/>
        </w:rPr>
      </w:pPr>
      <w:r w:rsidRPr="00BC5423">
        <w:rPr>
          <w:rFonts w:asciiTheme="minorHAnsi" w:hAnsiTheme="minorHAnsi" w:cstheme="minorHAnsi"/>
          <w:b/>
        </w:rPr>
        <w:t>INFORMACJE OGÓLNE</w:t>
      </w:r>
    </w:p>
    <w:p w14:paraId="6DF17517" w14:textId="739A8716" w:rsidR="00763552" w:rsidRPr="00BC5423" w:rsidRDefault="00763552" w:rsidP="00BC5423">
      <w:pPr>
        <w:spacing w:after="240" w:line="360" w:lineRule="auto"/>
        <w:ind w:left="142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 xml:space="preserve">Przedmiotem zamówienia jest świadczenie </w:t>
      </w:r>
      <w:r w:rsidR="007F393F" w:rsidRPr="00BC5423">
        <w:rPr>
          <w:rFonts w:asciiTheme="minorHAnsi" w:hAnsiTheme="minorHAnsi" w:cstheme="minorHAnsi"/>
        </w:rPr>
        <w:t xml:space="preserve">na rzecz Zamawiającego </w:t>
      </w:r>
      <w:r w:rsidRPr="00BC5423">
        <w:rPr>
          <w:rFonts w:asciiTheme="minorHAnsi" w:hAnsiTheme="minorHAnsi" w:cstheme="minorHAnsi"/>
        </w:rPr>
        <w:t>usług eksperckich</w:t>
      </w:r>
      <w:r w:rsidR="00390BA1" w:rsidRPr="00BC5423">
        <w:rPr>
          <w:rFonts w:asciiTheme="minorHAnsi" w:hAnsiTheme="minorHAnsi" w:cstheme="minorHAnsi"/>
        </w:rPr>
        <w:br/>
      </w:r>
      <w:r w:rsidRPr="00BC5423">
        <w:rPr>
          <w:rFonts w:asciiTheme="minorHAnsi" w:hAnsiTheme="minorHAnsi" w:cstheme="minorHAnsi"/>
        </w:rPr>
        <w:t xml:space="preserve">w zakresie przeprowadzenia </w:t>
      </w:r>
      <w:r w:rsidR="007C61DD" w:rsidRPr="00BC5423">
        <w:rPr>
          <w:rFonts w:asciiTheme="minorHAnsi" w:hAnsiTheme="minorHAnsi" w:cstheme="minorHAnsi"/>
        </w:rPr>
        <w:t xml:space="preserve">do 10 analiz </w:t>
      </w:r>
      <w:r w:rsidRPr="00BC5423">
        <w:rPr>
          <w:rFonts w:asciiTheme="minorHAnsi" w:hAnsiTheme="minorHAnsi" w:cstheme="minorHAnsi"/>
        </w:rPr>
        <w:t>sytuacji finansowej na potrzeby prowadzenia postępowań administracyjnych w sprawie udzielenia ulg podmiotom będącym beneficjentami projektów finansowanych</w:t>
      </w:r>
      <w:r w:rsidR="003F2CF9" w:rsidRPr="00BC5423">
        <w:rPr>
          <w:rFonts w:asciiTheme="minorHAnsi" w:hAnsiTheme="minorHAnsi" w:cstheme="minorHAnsi"/>
        </w:rPr>
        <w:t xml:space="preserve"> </w:t>
      </w:r>
      <w:r w:rsidRPr="00BC5423">
        <w:rPr>
          <w:rFonts w:asciiTheme="minorHAnsi" w:hAnsiTheme="minorHAnsi" w:cstheme="minorHAnsi"/>
        </w:rPr>
        <w:t>ze środków Unii Europejskiej lub innych środków publicznych np. niepodlegających zwrotowi środków z pomocy udzielanej przez państwa członkowskie Europejskiego Porozumienia o Wolnym Handlu (EFTA</w:t>
      </w:r>
      <w:r w:rsidR="00324F63" w:rsidRPr="00BC5423">
        <w:rPr>
          <w:rFonts w:asciiTheme="minorHAnsi" w:hAnsiTheme="minorHAnsi" w:cstheme="minorHAnsi"/>
        </w:rPr>
        <w:t>), a w szczególności</w:t>
      </w:r>
      <w:r w:rsidRPr="00BC5423">
        <w:rPr>
          <w:rFonts w:asciiTheme="minorHAnsi" w:hAnsiTheme="minorHAnsi" w:cstheme="minorHAnsi"/>
        </w:rPr>
        <w:t xml:space="preserve"> jednostkom samorządu terytorialnego, stowarzyszeniom, małym i średnim przedsiębiorcom, instytutom badawczym, spółkom</w:t>
      </w:r>
      <w:r w:rsidR="00324F63" w:rsidRPr="00BC5423">
        <w:rPr>
          <w:rFonts w:asciiTheme="minorHAnsi" w:hAnsiTheme="minorHAnsi" w:cstheme="minorHAnsi"/>
        </w:rPr>
        <w:t>, fundacjom</w:t>
      </w:r>
      <w:r w:rsidR="005541AF" w:rsidRPr="00BC5423">
        <w:rPr>
          <w:rFonts w:asciiTheme="minorHAnsi" w:hAnsiTheme="minorHAnsi" w:cstheme="minorHAnsi"/>
        </w:rPr>
        <w:t xml:space="preserve"> (dalej </w:t>
      </w:r>
      <w:r w:rsidR="007F393F" w:rsidRPr="00BC5423">
        <w:rPr>
          <w:rFonts w:asciiTheme="minorHAnsi" w:hAnsiTheme="minorHAnsi" w:cstheme="minorHAnsi"/>
        </w:rPr>
        <w:t>zwanych</w:t>
      </w:r>
      <w:r w:rsidR="0002057A" w:rsidRPr="00BC5423">
        <w:rPr>
          <w:rFonts w:asciiTheme="minorHAnsi" w:hAnsiTheme="minorHAnsi" w:cstheme="minorHAnsi"/>
        </w:rPr>
        <w:t xml:space="preserve"> odpowiednio „Analizami” lub „Analizą”</w:t>
      </w:r>
      <w:r w:rsidR="005541AF" w:rsidRPr="00BC5423">
        <w:rPr>
          <w:rFonts w:asciiTheme="minorHAnsi" w:hAnsiTheme="minorHAnsi" w:cstheme="minorHAnsi"/>
        </w:rPr>
        <w:t>)</w:t>
      </w:r>
      <w:r w:rsidR="00324F63" w:rsidRPr="00BC5423">
        <w:rPr>
          <w:rFonts w:asciiTheme="minorHAnsi" w:hAnsiTheme="minorHAnsi" w:cstheme="minorHAnsi"/>
        </w:rPr>
        <w:t>.</w:t>
      </w:r>
    </w:p>
    <w:p w14:paraId="6325E7F1" w14:textId="2AB2BC74" w:rsidR="00763552" w:rsidRPr="00BC5423" w:rsidRDefault="00763552" w:rsidP="00BC5423">
      <w:pPr>
        <w:spacing w:line="360" w:lineRule="auto"/>
        <w:ind w:left="142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 xml:space="preserve">Celem </w:t>
      </w:r>
      <w:r w:rsidR="007C61DD" w:rsidRPr="00BC5423">
        <w:rPr>
          <w:rFonts w:asciiTheme="minorHAnsi" w:hAnsiTheme="minorHAnsi" w:cstheme="minorHAnsi"/>
        </w:rPr>
        <w:t>A</w:t>
      </w:r>
      <w:r w:rsidRPr="00BC5423">
        <w:rPr>
          <w:rFonts w:asciiTheme="minorHAnsi" w:hAnsiTheme="minorHAnsi" w:cstheme="minorHAnsi"/>
        </w:rPr>
        <w:t xml:space="preserve">nalizy jest wydanie opinii </w:t>
      </w:r>
      <w:r w:rsidR="001F6114" w:rsidRPr="00BC5423">
        <w:rPr>
          <w:rFonts w:asciiTheme="minorHAnsi" w:hAnsiTheme="minorHAnsi" w:cstheme="minorHAnsi"/>
        </w:rPr>
        <w:t xml:space="preserve">przez </w:t>
      </w:r>
      <w:r w:rsidR="00384928" w:rsidRPr="00BC5423">
        <w:rPr>
          <w:rFonts w:asciiTheme="minorHAnsi" w:hAnsiTheme="minorHAnsi" w:cstheme="minorHAnsi"/>
        </w:rPr>
        <w:t xml:space="preserve">Wykonawcę </w:t>
      </w:r>
      <w:r w:rsidRPr="00BC5423">
        <w:rPr>
          <w:rFonts w:asciiTheme="minorHAnsi" w:hAnsiTheme="minorHAnsi" w:cstheme="minorHAnsi"/>
        </w:rPr>
        <w:t xml:space="preserve">w zakresie określenia zasadności udzielenia podmiotowi ulgi w spłacie zobowiązań wobec Skarbu Państwa oraz określenie kwoty pomocy publicznej lub pomocy </w:t>
      </w:r>
      <w:r w:rsidRPr="00BC5423">
        <w:rPr>
          <w:rFonts w:asciiTheme="minorHAnsi" w:hAnsiTheme="minorHAnsi" w:cstheme="minorHAnsi"/>
          <w:i/>
        </w:rPr>
        <w:t>de minimis</w:t>
      </w:r>
      <w:r w:rsidRPr="00BC5423">
        <w:rPr>
          <w:rFonts w:asciiTheme="minorHAnsi" w:hAnsiTheme="minorHAnsi" w:cstheme="minorHAnsi"/>
        </w:rPr>
        <w:t xml:space="preserve"> (jeżeli występuje) z tego tytułu </w:t>
      </w:r>
      <w:r w:rsidR="006D3997" w:rsidRPr="00BC5423">
        <w:rPr>
          <w:rFonts w:asciiTheme="minorHAnsi" w:hAnsiTheme="minorHAnsi" w:cstheme="minorHAnsi"/>
        </w:rPr>
        <w:br/>
      </w:r>
      <w:r w:rsidRPr="00BC5423">
        <w:rPr>
          <w:rFonts w:asciiTheme="minorHAnsi" w:hAnsiTheme="minorHAnsi" w:cstheme="minorHAnsi"/>
        </w:rPr>
        <w:t xml:space="preserve">i podstawy prawnej jej udzielenia. Analiza stanowić będzie element uzasadnienia decyzji administracyjnej w przedmiocie udzielenia ulgi w spłacie należności (tj. umorzenia należności w całości lub w części, odroczenia płatności lub rozłożenia płatności na raty). Do udzielenia ulg </w:t>
      </w:r>
      <w:r w:rsidR="00324F63" w:rsidRPr="00BC5423">
        <w:rPr>
          <w:rFonts w:asciiTheme="minorHAnsi" w:hAnsiTheme="minorHAnsi" w:cstheme="minorHAnsi"/>
        </w:rPr>
        <w:t xml:space="preserve">stosowane są przepisy art. </w:t>
      </w:r>
      <w:r w:rsidR="00F06B63" w:rsidRPr="00BC5423">
        <w:rPr>
          <w:rFonts w:asciiTheme="minorHAnsi" w:hAnsiTheme="minorHAnsi" w:cstheme="minorHAnsi"/>
        </w:rPr>
        <w:t xml:space="preserve">64 </w:t>
      </w:r>
      <w:r w:rsidR="00595D74" w:rsidRPr="00BC5423">
        <w:rPr>
          <w:rFonts w:asciiTheme="minorHAnsi" w:hAnsiTheme="minorHAnsi" w:cstheme="minorHAnsi"/>
        </w:rPr>
        <w:t>i dalsze Rozdziału 5</w:t>
      </w:r>
      <w:r w:rsidR="00324F63" w:rsidRPr="00BC5423">
        <w:rPr>
          <w:rFonts w:asciiTheme="minorHAnsi" w:hAnsiTheme="minorHAnsi" w:cstheme="minorHAnsi"/>
        </w:rPr>
        <w:t xml:space="preserve"> </w:t>
      </w:r>
      <w:r w:rsidR="008147CA">
        <w:rPr>
          <w:rFonts w:asciiTheme="minorHAnsi" w:hAnsiTheme="minorHAnsi" w:cstheme="minorHAnsi"/>
        </w:rPr>
        <w:t xml:space="preserve">Działu 1 </w:t>
      </w:r>
      <w:r w:rsidR="00324F63" w:rsidRPr="00BC5423">
        <w:rPr>
          <w:rFonts w:asciiTheme="minorHAnsi" w:hAnsiTheme="minorHAnsi" w:cstheme="minorHAnsi"/>
        </w:rPr>
        <w:t>u</w:t>
      </w:r>
      <w:r w:rsidRPr="00BC5423">
        <w:rPr>
          <w:rFonts w:asciiTheme="minorHAnsi" w:hAnsiTheme="minorHAnsi" w:cstheme="minorHAnsi"/>
        </w:rPr>
        <w:t>stawy z dnia 27 sierpnia 2009</w:t>
      </w:r>
      <w:r w:rsidR="001F6114" w:rsidRPr="00BC5423">
        <w:rPr>
          <w:rFonts w:asciiTheme="minorHAnsi" w:hAnsiTheme="minorHAnsi" w:cstheme="minorHAnsi"/>
        </w:rPr>
        <w:t xml:space="preserve"> r</w:t>
      </w:r>
      <w:r w:rsidR="001D3A50" w:rsidRPr="00BC5423">
        <w:rPr>
          <w:rFonts w:asciiTheme="minorHAnsi" w:hAnsiTheme="minorHAnsi" w:cstheme="minorHAnsi"/>
        </w:rPr>
        <w:t xml:space="preserve">. </w:t>
      </w:r>
      <w:r w:rsidRPr="00BC5423">
        <w:rPr>
          <w:rFonts w:asciiTheme="minorHAnsi" w:hAnsiTheme="minorHAnsi" w:cstheme="minorHAnsi"/>
        </w:rPr>
        <w:t>o finan</w:t>
      </w:r>
      <w:r w:rsidR="00324F63" w:rsidRPr="00BC5423">
        <w:rPr>
          <w:rFonts w:asciiTheme="minorHAnsi" w:hAnsiTheme="minorHAnsi" w:cstheme="minorHAnsi"/>
        </w:rPr>
        <w:t xml:space="preserve">sach publicznych (t.j. Dz.U. </w:t>
      </w:r>
      <w:r w:rsidR="00595D74" w:rsidRPr="00BC5423">
        <w:rPr>
          <w:rFonts w:asciiTheme="minorHAnsi" w:hAnsiTheme="minorHAnsi" w:cstheme="minorHAnsi"/>
        </w:rPr>
        <w:t xml:space="preserve">z </w:t>
      </w:r>
      <w:r w:rsidR="00954A7D" w:rsidRPr="00BC5423">
        <w:rPr>
          <w:rFonts w:asciiTheme="minorHAnsi" w:hAnsiTheme="minorHAnsi" w:cstheme="minorHAnsi"/>
        </w:rPr>
        <w:t>202</w:t>
      </w:r>
      <w:r w:rsidR="00954A7D">
        <w:rPr>
          <w:rFonts w:asciiTheme="minorHAnsi" w:hAnsiTheme="minorHAnsi" w:cstheme="minorHAnsi"/>
        </w:rPr>
        <w:t>3</w:t>
      </w:r>
      <w:r w:rsidR="00954A7D" w:rsidRPr="00BC5423">
        <w:rPr>
          <w:rFonts w:asciiTheme="minorHAnsi" w:hAnsiTheme="minorHAnsi" w:cstheme="minorHAnsi"/>
        </w:rPr>
        <w:t xml:space="preserve"> </w:t>
      </w:r>
      <w:r w:rsidR="00595D74" w:rsidRPr="00BC5423">
        <w:rPr>
          <w:rFonts w:asciiTheme="minorHAnsi" w:hAnsiTheme="minorHAnsi" w:cstheme="minorHAnsi"/>
        </w:rPr>
        <w:t xml:space="preserve">r. </w:t>
      </w:r>
      <w:r w:rsidR="001F6114" w:rsidRPr="00BC5423">
        <w:rPr>
          <w:rFonts w:asciiTheme="minorHAnsi" w:hAnsiTheme="minorHAnsi" w:cstheme="minorHAnsi"/>
        </w:rPr>
        <w:t xml:space="preserve">poz. </w:t>
      </w:r>
      <w:r w:rsidR="00954A7D" w:rsidRPr="00BC5423">
        <w:rPr>
          <w:rFonts w:asciiTheme="minorHAnsi" w:hAnsiTheme="minorHAnsi" w:cstheme="minorHAnsi"/>
        </w:rPr>
        <w:t>1</w:t>
      </w:r>
      <w:r w:rsidR="00954A7D">
        <w:rPr>
          <w:rFonts w:asciiTheme="minorHAnsi" w:hAnsiTheme="minorHAnsi" w:cstheme="minorHAnsi"/>
        </w:rPr>
        <w:t>270</w:t>
      </w:r>
      <w:r w:rsidR="00954A7D" w:rsidRPr="00BC5423">
        <w:rPr>
          <w:rFonts w:asciiTheme="minorHAnsi" w:hAnsiTheme="minorHAnsi" w:cstheme="minorHAnsi"/>
        </w:rPr>
        <w:t xml:space="preserve"> </w:t>
      </w:r>
      <w:r w:rsidRPr="00BC5423">
        <w:rPr>
          <w:rFonts w:asciiTheme="minorHAnsi" w:hAnsiTheme="minorHAnsi" w:cstheme="minorHAnsi"/>
        </w:rPr>
        <w:t>ze zm.</w:t>
      </w:r>
      <w:r w:rsidR="00156AC5" w:rsidRPr="00BC5423">
        <w:rPr>
          <w:rFonts w:asciiTheme="minorHAnsi" w:hAnsiTheme="minorHAnsi" w:cstheme="minorHAnsi"/>
        </w:rPr>
        <w:t xml:space="preserve">, dalej </w:t>
      </w:r>
      <w:r w:rsidR="00595D74" w:rsidRPr="00BC5423">
        <w:rPr>
          <w:rFonts w:asciiTheme="minorHAnsi" w:hAnsiTheme="minorHAnsi" w:cstheme="minorHAnsi"/>
        </w:rPr>
        <w:t xml:space="preserve">również jako </w:t>
      </w:r>
      <w:r w:rsidR="00324F63" w:rsidRPr="00BC5423">
        <w:rPr>
          <w:rFonts w:asciiTheme="minorHAnsi" w:hAnsiTheme="minorHAnsi" w:cstheme="minorHAnsi"/>
        </w:rPr>
        <w:t>„U</w:t>
      </w:r>
      <w:r w:rsidR="00156AC5" w:rsidRPr="00BC5423">
        <w:rPr>
          <w:rFonts w:asciiTheme="minorHAnsi" w:hAnsiTheme="minorHAnsi" w:cstheme="minorHAnsi"/>
        </w:rPr>
        <w:t>staw</w:t>
      </w:r>
      <w:r w:rsidR="00595D74" w:rsidRPr="00BC5423">
        <w:rPr>
          <w:rFonts w:asciiTheme="minorHAnsi" w:hAnsiTheme="minorHAnsi" w:cstheme="minorHAnsi"/>
        </w:rPr>
        <w:t>a</w:t>
      </w:r>
      <w:r w:rsidR="00324F63" w:rsidRPr="00BC5423">
        <w:rPr>
          <w:rFonts w:asciiTheme="minorHAnsi" w:hAnsiTheme="minorHAnsi" w:cstheme="minorHAnsi"/>
        </w:rPr>
        <w:t>”</w:t>
      </w:r>
      <w:r w:rsidRPr="00BC5423">
        <w:rPr>
          <w:rFonts w:asciiTheme="minorHAnsi" w:hAnsiTheme="minorHAnsi" w:cstheme="minorHAnsi"/>
        </w:rPr>
        <w:t xml:space="preserve">) oraz Działu III Ordynacji Podatkowej (t.j. Dz. U. z </w:t>
      </w:r>
      <w:r w:rsidR="00954A7D" w:rsidRPr="00BC5423">
        <w:rPr>
          <w:rFonts w:asciiTheme="minorHAnsi" w:hAnsiTheme="minorHAnsi" w:cstheme="minorHAnsi"/>
        </w:rPr>
        <w:t>202</w:t>
      </w:r>
      <w:r w:rsidR="00954A7D">
        <w:rPr>
          <w:rFonts w:asciiTheme="minorHAnsi" w:hAnsiTheme="minorHAnsi" w:cstheme="minorHAnsi"/>
        </w:rPr>
        <w:t>3</w:t>
      </w:r>
      <w:r w:rsidR="001F6114" w:rsidRPr="00BC5423">
        <w:rPr>
          <w:rFonts w:asciiTheme="minorHAnsi" w:hAnsiTheme="minorHAnsi" w:cstheme="minorHAnsi"/>
        </w:rPr>
        <w:t xml:space="preserve">r. poz. </w:t>
      </w:r>
      <w:r w:rsidR="00954A7D" w:rsidRPr="00BC5423">
        <w:rPr>
          <w:rFonts w:asciiTheme="minorHAnsi" w:hAnsiTheme="minorHAnsi" w:cstheme="minorHAnsi"/>
        </w:rPr>
        <w:t>2</w:t>
      </w:r>
      <w:r w:rsidR="00954A7D">
        <w:rPr>
          <w:rFonts w:asciiTheme="minorHAnsi" w:hAnsiTheme="minorHAnsi" w:cstheme="minorHAnsi"/>
        </w:rPr>
        <w:t>383</w:t>
      </w:r>
      <w:r w:rsidR="00954A7D" w:rsidRPr="00BC5423">
        <w:rPr>
          <w:rFonts w:asciiTheme="minorHAnsi" w:hAnsiTheme="minorHAnsi" w:cstheme="minorHAnsi"/>
        </w:rPr>
        <w:t xml:space="preserve"> </w:t>
      </w:r>
      <w:r w:rsidRPr="00BC5423">
        <w:rPr>
          <w:rFonts w:asciiTheme="minorHAnsi" w:hAnsiTheme="minorHAnsi" w:cstheme="minorHAnsi"/>
        </w:rPr>
        <w:t>ze zm.).</w:t>
      </w:r>
    </w:p>
    <w:p w14:paraId="403FFAAB" w14:textId="77777777" w:rsidR="00763552" w:rsidRPr="00BC5423" w:rsidRDefault="005020E1" w:rsidP="00BC5423">
      <w:pPr>
        <w:spacing w:line="360" w:lineRule="auto"/>
        <w:ind w:left="142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>Podstawą przeprowadzenia Analizy jest</w:t>
      </w:r>
      <w:r w:rsidR="0097391A" w:rsidRPr="00BC5423">
        <w:rPr>
          <w:rFonts w:asciiTheme="minorHAnsi" w:hAnsiTheme="minorHAnsi" w:cstheme="minorHAnsi"/>
        </w:rPr>
        <w:t xml:space="preserve"> wniosek Beneficjenta dotyczący umorzenia należnośc</w:t>
      </w:r>
      <w:r w:rsidR="00274A7E" w:rsidRPr="00BC5423">
        <w:rPr>
          <w:rFonts w:asciiTheme="minorHAnsi" w:hAnsiTheme="minorHAnsi" w:cstheme="minorHAnsi"/>
        </w:rPr>
        <w:t xml:space="preserve">i lub odroczenia płatności </w:t>
      </w:r>
      <w:r w:rsidRPr="00BC5423">
        <w:rPr>
          <w:rFonts w:asciiTheme="minorHAnsi" w:hAnsiTheme="minorHAnsi" w:cstheme="minorHAnsi"/>
        </w:rPr>
        <w:t xml:space="preserve">albo </w:t>
      </w:r>
      <w:r w:rsidR="0097391A" w:rsidRPr="00BC5423">
        <w:rPr>
          <w:rFonts w:asciiTheme="minorHAnsi" w:hAnsiTheme="minorHAnsi" w:cstheme="minorHAnsi"/>
        </w:rPr>
        <w:t>rozłoże</w:t>
      </w:r>
      <w:r w:rsidR="00274A7E" w:rsidRPr="00BC5423">
        <w:rPr>
          <w:rFonts w:asciiTheme="minorHAnsi" w:hAnsiTheme="minorHAnsi" w:cstheme="minorHAnsi"/>
        </w:rPr>
        <w:t>nia płatności</w:t>
      </w:r>
      <w:r w:rsidR="0097391A" w:rsidRPr="00BC5423">
        <w:rPr>
          <w:rFonts w:asciiTheme="minorHAnsi" w:hAnsiTheme="minorHAnsi" w:cstheme="minorHAnsi"/>
        </w:rPr>
        <w:t xml:space="preserve"> na raty. </w:t>
      </w:r>
      <w:r w:rsidR="00763552" w:rsidRPr="00BC5423">
        <w:rPr>
          <w:rFonts w:asciiTheme="minorHAnsi" w:hAnsiTheme="minorHAnsi" w:cstheme="minorHAnsi"/>
        </w:rPr>
        <w:t xml:space="preserve">Analiza </w:t>
      </w:r>
      <w:r w:rsidR="001F7E5F" w:rsidRPr="00BC5423">
        <w:rPr>
          <w:rFonts w:asciiTheme="minorHAnsi" w:hAnsiTheme="minorHAnsi" w:cstheme="minorHAnsi"/>
        </w:rPr>
        <w:t xml:space="preserve">przeprowadzona na podstawie </w:t>
      </w:r>
      <w:r w:rsidR="00763552" w:rsidRPr="00BC5423">
        <w:rPr>
          <w:rFonts w:asciiTheme="minorHAnsi" w:hAnsiTheme="minorHAnsi" w:cstheme="minorHAnsi"/>
        </w:rPr>
        <w:t>wniosku alternatywnego</w:t>
      </w:r>
      <w:r w:rsidRPr="00BC5423">
        <w:rPr>
          <w:rFonts w:asciiTheme="minorHAnsi" w:hAnsiTheme="minorHAnsi" w:cstheme="minorHAnsi"/>
        </w:rPr>
        <w:t>,</w:t>
      </w:r>
      <w:r w:rsidR="00763552" w:rsidRPr="00BC5423">
        <w:rPr>
          <w:rFonts w:asciiTheme="minorHAnsi" w:hAnsiTheme="minorHAnsi" w:cstheme="minorHAnsi"/>
        </w:rPr>
        <w:t xml:space="preserve"> złożonego przez Beneficjenta </w:t>
      </w:r>
      <w:r w:rsidR="00C42525" w:rsidRPr="00BC5423">
        <w:rPr>
          <w:rFonts w:asciiTheme="minorHAnsi" w:hAnsiTheme="minorHAnsi" w:cstheme="minorHAnsi"/>
        </w:rPr>
        <w:t>zawierającego różne rodzaje ulg</w:t>
      </w:r>
      <w:r w:rsidR="001D3A50" w:rsidRPr="00BC5423">
        <w:rPr>
          <w:rFonts w:asciiTheme="minorHAnsi" w:hAnsiTheme="minorHAnsi" w:cstheme="minorHAnsi"/>
        </w:rPr>
        <w:t>,</w:t>
      </w:r>
      <w:r w:rsidR="00C42525" w:rsidRPr="00BC5423">
        <w:rPr>
          <w:rFonts w:asciiTheme="minorHAnsi" w:hAnsiTheme="minorHAnsi" w:cstheme="minorHAnsi"/>
        </w:rPr>
        <w:t xml:space="preserve"> </w:t>
      </w:r>
      <w:r w:rsidR="00763552" w:rsidRPr="00BC5423">
        <w:rPr>
          <w:rFonts w:asciiTheme="minorHAnsi" w:hAnsiTheme="minorHAnsi" w:cstheme="minorHAnsi"/>
        </w:rPr>
        <w:t>traktowana jest jak jedno zlecenie.</w:t>
      </w:r>
    </w:p>
    <w:p w14:paraId="71803E18" w14:textId="77777777" w:rsidR="00763552" w:rsidRPr="00BC5423" w:rsidRDefault="00763552" w:rsidP="00BC5423">
      <w:pPr>
        <w:spacing w:line="360" w:lineRule="auto"/>
        <w:ind w:left="567"/>
        <w:rPr>
          <w:rFonts w:asciiTheme="minorHAnsi" w:hAnsiTheme="minorHAnsi" w:cstheme="minorHAnsi"/>
          <w:b/>
          <w:lang w:val="x-none"/>
        </w:rPr>
      </w:pPr>
    </w:p>
    <w:p w14:paraId="5FDB25F6" w14:textId="77777777" w:rsidR="00763552" w:rsidRPr="00BC5423" w:rsidRDefault="005541AF" w:rsidP="00BC5423">
      <w:pPr>
        <w:pStyle w:val="Akapitzlist"/>
        <w:numPr>
          <w:ilvl w:val="0"/>
          <w:numId w:val="1"/>
        </w:numPr>
        <w:spacing w:after="240" w:line="360" w:lineRule="auto"/>
        <w:ind w:left="493" w:hanging="425"/>
        <w:rPr>
          <w:rFonts w:asciiTheme="minorHAnsi" w:hAnsiTheme="minorHAnsi" w:cstheme="minorHAnsi"/>
          <w:b/>
          <w:lang w:val="x-none"/>
        </w:rPr>
      </w:pPr>
      <w:r w:rsidRPr="00BC5423">
        <w:rPr>
          <w:rFonts w:asciiTheme="minorHAnsi" w:hAnsiTheme="minorHAnsi" w:cstheme="minorHAnsi"/>
          <w:b/>
        </w:rPr>
        <w:t>ZAKRES USŁUGI</w:t>
      </w:r>
    </w:p>
    <w:p w14:paraId="754C4952" w14:textId="77777777" w:rsidR="00763552" w:rsidRPr="00BC5423" w:rsidRDefault="00763552" w:rsidP="00BC5423">
      <w:pPr>
        <w:numPr>
          <w:ilvl w:val="1"/>
          <w:numId w:val="3"/>
        </w:numPr>
        <w:spacing w:line="360" w:lineRule="auto"/>
        <w:ind w:left="709" w:hanging="425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  <w:lang w:val="x-none"/>
        </w:rPr>
        <w:lastRenderedPageBreak/>
        <w:t xml:space="preserve">Zamawiający zleci Wykonawcy wykonanie do </w:t>
      </w:r>
      <w:r w:rsidRPr="00BC5423">
        <w:rPr>
          <w:rFonts w:asciiTheme="minorHAnsi" w:hAnsiTheme="minorHAnsi" w:cstheme="minorHAnsi"/>
        </w:rPr>
        <w:t xml:space="preserve">10 </w:t>
      </w:r>
      <w:r w:rsidR="007C61DD" w:rsidRPr="00BC5423">
        <w:rPr>
          <w:rFonts w:asciiTheme="minorHAnsi" w:hAnsiTheme="minorHAnsi" w:cstheme="minorHAnsi"/>
        </w:rPr>
        <w:t xml:space="preserve">Analiz </w:t>
      </w:r>
      <w:r w:rsidR="007C61DD" w:rsidRPr="00BC5423">
        <w:rPr>
          <w:rFonts w:asciiTheme="minorHAnsi" w:hAnsiTheme="minorHAnsi" w:cstheme="minorHAnsi"/>
          <w:lang w:val="x-none"/>
        </w:rPr>
        <w:t>podmiotu ubiegającego się</w:t>
      </w:r>
      <w:r w:rsidR="007C61DD" w:rsidRPr="00BC5423">
        <w:rPr>
          <w:rFonts w:asciiTheme="minorHAnsi" w:hAnsiTheme="minorHAnsi" w:cstheme="minorHAnsi"/>
          <w:lang w:val="x-none"/>
        </w:rPr>
        <w:br/>
      </w:r>
      <w:r w:rsidRPr="00BC5423">
        <w:rPr>
          <w:rFonts w:asciiTheme="minorHAnsi" w:hAnsiTheme="minorHAnsi" w:cstheme="minorHAnsi"/>
          <w:lang w:val="x-none"/>
        </w:rPr>
        <w:t xml:space="preserve">o ulgę w oparciu o przedstawione dokumenty. </w:t>
      </w:r>
    </w:p>
    <w:p w14:paraId="0AA5D1C4" w14:textId="77777777" w:rsidR="00763552" w:rsidRPr="00BC5423" w:rsidRDefault="00763552" w:rsidP="00BC5423">
      <w:pPr>
        <w:spacing w:line="360" w:lineRule="auto"/>
        <w:ind w:left="720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  <w:lang w:val="x-none"/>
        </w:rPr>
        <w:t xml:space="preserve">W zakres </w:t>
      </w:r>
      <w:r w:rsidR="00156AC5" w:rsidRPr="00BC5423">
        <w:rPr>
          <w:rFonts w:asciiTheme="minorHAnsi" w:hAnsiTheme="minorHAnsi" w:cstheme="minorHAnsi"/>
        </w:rPr>
        <w:t>A</w:t>
      </w:r>
      <w:r w:rsidR="00156AC5" w:rsidRPr="00BC5423">
        <w:rPr>
          <w:rFonts w:asciiTheme="minorHAnsi" w:hAnsiTheme="minorHAnsi" w:cstheme="minorHAnsi"/>
          <w:lang w:val="x-none"/>
        </w:rPr>
        <w:t xml:space="preserve">nalizy </w:t>
      </w:r>
      <w:r w:rsidRPr="00BC5423">
        <w:rPr>
          <w:rFonts w:asciiTheme="minorHAnsi" w:hAnsiTheme="minorHAnsi" w:cstheme="minorHAnsi"/>
          <w:lang w:val="x-none"/>
        </w:rPr>
        <w:t>wchodzi:</w:t>
      </w:r>
    </w:p>
    <w:p w14:paraId="166D132A" w14:textId="1983FE35" w:rsidR="00F85917" w:rsidRPr="00BC5423" w:rsidRDefault="00763552" w:rsidP="00BC5423">
      <w:pPr>
        <w:numPr>
          <w:ilvl w:val="0"/>
          <w:numId w:val="2"/>
        </w:numPr>
        <w:spacing w:line="360" w:lineRule="auto"/>
        <w:ind w:left="1162" w:hanging="425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  <w:lang w:val="x-none"/>
        </w:rPr>
        <w:t xml:space="preserve">określenie zasadności udzielenia podmiotowi ulgi w spłacie zobowiązań wobec Skarbu Państwa, </w:t>
      </w:r>
      <w:r w:rsidR="00F85917" w:rsidRPr="00BC5423">
        <w:rPr>
          <w:rFonts w:asciiTheme="minorHAnsi" w:hAnsiTheme="minorHAnsi" w:cstheme="minorHAnsi"/>
        </w:rPr>
        <w:t>w tym analiza i ocena</w:t>
      </w:r>
      <w:r w:rsidR="004B6939">
        <w:rPr>
          <w:rFonts w:asciiTheme="minorHAnsi" w:hAnsiTheme="minorHAnsi" w:cstheme="minorHAnsi"/>
        </w:rPr>
        <w:t xml:space="preserve"> spełnienia</w:t>
      </w:r>
      <w:r w:rsidR="00F85917" w:rsidRPr="00BC5423">
        <w:rPr>
          <w:rFonts w:asciiTheme="minorHAnsi" w:hAnsiTheme="minorHAnsi" w:cstheme="minorHAnsi"/>
        </w:rPr>
        <w:t xml:space="preserve"> przesłanek</w:t>
      </w:r>
      <w:r w:rsidR="001D3A50" w:rsidRPr="00BC5423">
        <w:rPr>
          <w:rFonts w:asciiTheme="minorHAnsi" w:hAnsiTheme="minorHAnsi" w:cstheme="minorHAnsi"/>
        </w:rPr>
        <w:t>,</w:t>
      </w:r>
      <w:r w:rsidR="00F85917" w:rsidRPr="00BC5423">
        <w:rPr>
          <w:rFonts w:asciiTheme="minorHAnsi" w:hAnsiTheme="minorHAnsi" w:cstheme="minorHAnsi"/>
        </w:rPr>
        <w:t xml:space="preserve"> o których mowa w art. </w:t>
      </w:r>
      <w:r w:rsidR="00156AC5" w:rsidRPr="00BC5423">
        <w:rPr>
          <w:rFonts w:asciiTheme="minorHAnsi" w:hAnsiTheme="minorHAnsi" w:cstheme="minorHAnsi"/>
        </w:rPr>
        <w:t>64</w:t>
      </w:r>
      <w:r w:rsidR="00F85917" w:rsidRPr="00BC5423">
        <w:rPr>
          <w:rFonts w:asciiTheme="minorHAnsi" w:hAnsiTheme="minorHAnsi" w:cstheme="minorHAnsi"/>
        </w:rPr>
        <w:t xml:space="preserve"> ust.</w:t>
      </w:r>
      <w:r w:rsidR="001D3A50" w:rsidRPr="00BC5423">
        <w:rPr>
          <w:rFonts w:asciiTheme="minorHAnsi" w:hAnsiTheme="minorHAnsi" w:cstheme="minorHAnsi"/>
        </w:rPr>
        <w:t xml:space="preserve"> </w:t>
      </w:r>
      <w:r w:rsidR="00F85917" w:rsidRPr="00BC5423">
        <w:rPr>
          <w:rFonts w:asciiTheme="minorHAnsi" w:hAnsiTheme="minorHAnsi" w:cstheme="minorHAnsi"/>
        </w:rPr>
        <w:t>1 pkt</w:t>
      </w:r>
      <w:r w:rsidR="001D3A50" w:rsidRPr="00BC5423">
        <w:rPr>
          <w:rFonts w:asciiTheme="minorHAnsi" w:hAnsiTheme="minorHAnsi" w:cstheme="minorHAnsi"/>
        </w:rPr>
        <w:t xml:space="preserve"> </w:t>
      </w:r>
      <w:r w:rsidR="009F635E">
        <w:rPr>
          <w:rFonts w:asciiTheme="minorHAnsi" w:hAnsiTheme="minorHAnsi" w:cstheme="minorHAnsi"/>
        </w:rPr>
        <w:t>2</w:t>
      </w:r>
      <w:r w:rsidR="00D97BEA">
        <w:rPr>
          <w:rFonts w:asciiTheme="minorHAnsi" w:hAnsiTheme="minorHAnsi" w:cstheme="minorHAnsi"/>
        </w:rPr>
        <w:t xml:space="preserve"> </w:t>
      </w:r>
      <w:r w:rsidR="002D2A2F" w:rsidRPr="00BC5423">
        <w:rPr>
          <w:rFonts w:asciiTheme="minorHAnsi" w:hAnsiTheme="minorHAnsi" w:cstheme="minorHAnsi"/>
        </w:rPr>
        <w:t>Ustawy</w:t>
      </w:r>
      <w:r w:rsidR="00DE73B4" w:rsidRPr="00BC5423">
        <w:rPr>
          <w:rFonts w:asciiTheme="minorHAnsi" w:hAnsiTheme="minorHAnsi" w:cstheme="minorHAnsi"/>
        </w:rPr>
        <w:t>,</w:t>
      </w:r>
    </w:p>
    <w:p w14:paraId="7184E641" w14:textId="77777777" w:rsidR="00763552" w:rsidRPr="00BC5423" w:rsidRDefault="00763552" w:rsidP="00BC5423">
      <w:pPr>
        <w:numPr>
          <w:ilvl w:val="0"/>
          <w:numId w:val="2"/>
        </w:numPr>
        <w:spacing w:line="360" w:lineRule="auto"/>
        <w:ind w:left="1162" w:hanging="425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  <w:lang w:val="x-none"/>
        </w:rPr>
        <w:t>ocena kompletności zebranej dokumentacji i ewentualne wskazanie dokumentów, które należy uzupełnić</w:t>
      </w:r>
      <w:r w:rsidRPr="00BC5423">
        <w:rPr>
          <w:rFonts w:asciiTheme="minorHAnsi" w:hAnsiTheme="minorHAnsi" w:cstheme="minorHAnsi"/>
        </w:rPr>
        <w:t>,</w:t>
      </w:r>
      <w:r w:rsidRPr="00BC5423">
        <w:rPr>
          <w:rFonts w:asciiTheme="minorHAnsi" w:hAnsiTheme="minorHAnsi" w:cstheme="minorHAnsi"/>
          <w:lang w:val="x-none"/>
        </w:rPr>
        <w:t xml:space="preserve"> </w:t>
      </w:r>
    </w:p>
    <w:p w14:paraId="12824E11" w14:textId="68F7DA06" w:rsidR="00763552" w:rsidRPr="00BC5423" w:rsidRDefault="00763552" w:rsidP="00BC5423">
      <w:pPr>
        <w:numPr>
          <w:ilvl w:val="0"/>
          <w:numId w:val="2"/>
        </w:numPr>
        <w:spacing w:line="360" w:lineRule="auto"/>
        <w:ind w:left="1162" w:hanging="425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  <w:lang w:val="x-none"/>
        </w:rPr>
        <w:t>ocena, czy w rozpatrywanej sprawie ulga w spłacie będzie stanowiła pomoc publiczn</w:t>
      </w:r>
      <w:r w:rsidR="004B6939">
        <w:rPr>
          <w:rFonts w:asciiTheme="minorHAnsi" w:hAnsiTheme="minorHAnsi" w:cstheme="minorHAnsi"/>
        </w:rPr>
        <w:t xml:space="preserve">ą </w:t>
      </w:r>
      <w:r w:rsidRPr="00BC5423">
        <w:rPr>
          <w:rFonts w:asciiTheme="minorHAnsi" w:hAnsiTheme="minorHAnsi" w:cstheme="minorHAnsi"/>
          <w:lang w:val="x-none"/>
        </w:rPr>
        <w:t xml:space="preserve">albo pomoc </w:t>
      </w:r>
      <w:r w:rsidRPr="00BC5423">
        <w:rPr>
          <w:rFonts w:asciiTheme="minorHAnsi" w:hAnsiTheme="minorHAnsi" w:cstheme="minorHAnsi"/>
          <w:i/>
          <w:lang w:val="x-none"/>
        </w:rPr>
        <w:t>de minimis</w:t>
      </w:r>
      <w:r w:rsidRPr="00BC5423">
        <w:rPr>
          <w:rFonts w:asciiTheme="minorHAnsi" w:hAnsiTheme="minorHAnsi" w:cstheme="minorHAnsi"/>
          <w:lang w:val="x-none"/>
        </w:rPr>
        <w:t xml:space="preserve">, </w:t>
      </w:r>
    </w:p>
    <w:p w14:paraId="2BF99ECB" w14:textId="319D63FD" w:rsidR="00763552" w:rsidRPr="00BC5423" w:rsidRDefault="00763552" w:rsidP="00BC5423">
      <w:pPr>
        <w:numPr>
          <w:ilvl w:val="0"/>
          <w:numId w:val="2"/>
        </w:numPr>
        <w:spacing w:line="360" w:lineRule="auto"/>
        <w:ind w:left="1162" w:hanging="425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  <w:lang w:val="x-none"/>
        </w:rPr>
        <w:t xml:space="preserve">obliczenie kwoty pomocy publicznej lub pomocy </w:t>
      </w:r>
      <w:r w:rsidRPr="00BC5423">
        <w:rPr>
          <w:rFonts w:asciiTheme="minorHAnsi" w:hAnsiTheme="minorHAnsi" w:cstheme="minorHAnsi"/>
          <w:i/>
          <w:lang w:val="x-none"/>
        </w:rPr>
        <w:t>de minimis</w:t>
      </w:r>
      <w:r w:rsidR="001D3A50" w:rsidRPr="00BC5423">
        <w:rPr>
          <w:rFonts w:asciiTheme="minorHAnsi" w:hAnsiTheme="minorHAnsi" w:cstheme="minorHAnsi"/>
        </w:rPr>
        <w:t>,</w:t>
      </w:r>
      <w:r w:rsidRPr="00BC5423">
        <w:rPr>
          <w:rFonts w:asciiTheme="minorHAnsi" w:hAnsiTheme="minorHAnsi" w:cstheme="minorHAnsi"/>
          <w:lang w:val="x-none"/>
        </w:rPr>
        <w:t xml:space="preserve"> jeżeli występuje oraz </w:t>
      </w:r>
      <w:r w:rsidR="004B6939">
        <w:rPr>
          <w:rFonts w:asciiTheme="minorHAnsi" w:hAnsiTheme="minorHAnsi" w:cstheme="minorHAnsi"/>
        </w:rPr>
        <w:t xml:space="preserve">wskazanie </w:t>
      </w:r>
      <w:r w:rsidRPr="00BC5423">
        <w:rPr>
          <w:rFonts w:asciiTheme="minorHAnsi" w:hAnsiTheme="minorHAnsi" w:cstheme="minorHAnsi"/>
          <w:lang w:val="x-none"/>
        </w:rPr>
        <w:t>podstaw praw</w:t>
      </w:r>
      <w:r w:rsidR="004B6939">
        <w:rPr>
          <w:rFonts w:asciiTheme="minorHAnsi" w:hAnsiTheme="minorHAnsi" w:cstheme="minorHAnsi"/>
        </w:rPr>
        <w:t>nych</w:t>
      </w:r>
      <w:r w:rsidRPr="00BC5423">
        <w:rPr>
          <w:rFonts w:asciiTheme="minorHAnsi" w:hAnsiTheme="minorHAnsi" w:cstheme="minorHAnsi"/>
          <w:lang w:val="x-none"/>
        </w:rPr>
        <w:t xml:space="preserve"> jej udzielenia. </w:t>
      </w:r>
    </w:p>
    <w:p w14:paraId="224DA990" w14:textId="2C00F1F9" w:rsidR="006D3997" w:rsidRPr="00BC5423" w:rsidRDefault="00763552" w:rsidP="00BC5423">
      <w:pPr>
        <w:spacing w:line="360" w:lineRule="auto"/>
        <w:ind w:left="709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  <w:lang w:val="x-none"/>
        </w:rPr>
        <w:t xml:space="preserve">Zamawiający </w:t>
      </w:r>
      <w:r w:rsidR="00E9006B" w:rsidRPr="00BC5423">
        <w:rPr>
          <w:rFonts w:asciiTheme="minorHAnsi" w:hAnsiTheme="minorHAnsi" w:cstheme="minorHAnsi"/>
        </w:rPr>
        <w:t xml:space="preserve">zobowiązuje się do </w:t>
      </w:r>
      <w:r w:rsidRPr="00BC5423">
        <w:rPr>
          <w:rFonts w:asciiTheme="minorHAnsi" w:hAnsiTheme="minorHAnsi" w:cstheme="minorHAnsi"/>
          <w:lang w:val="x-none"/>
        </w:rPr>
        <w:t xml:space="preserve">zlecenia </w:t>
      </w:r>
      <w:r w:rsidR="00FF631D" w:rsidRPr="00BC5423">
        <w:rPr>
          <w:rFonts w:asciiTheme="minorHAnsi" w:hAnsiTheme="minorHAnsi" w:cstheme="minorHAnsi"/>
        </w:rPr>
        <w:t xml:space="preserve">min. </w:t>
      </w:r>
      <w:r w:rsidR="00E9006B" w:rsidRPr="00BC5423">
        <w:rPr>
          <w:rFonts w:asciiTheme="minorHAnsi" w:hAnsiTheme="minorHAnsi" w:cstheme="minorHAnsi"/>
        </w:rPr>
        <w:t>jednego</w:t>
      </w:r>
      <w:r w:rsidR="00FF631D" w:rsidRPr="00BC5423">
        <w:rPr>
          <w:rFonts w:asciiTheme="minorHAnsi" w:hAnsiTheme="minorHAnsi" w:cstheme="minorHAnsi"/>
        </w:rPr>
        <w:t xml:space="preserve"> zlecenia. </w:t>
      </w:r>
    </w:p>
    <w:p w14:paraId="186ECEA9" w14:textId="03D6C401" w:rsidR="00763552" w:rsidRPr="00BC5423" w:rsidRDefault="00763552" w:rsidP="00BC5423">
      <w:pPr>
        <w:pStyle w:val="Akapitzlist"/>
        <w:numPr>
          <w:ilvl w:val="1"/>
          <w:numId w:val="3"/>
        </w:numPr>
        <w:spacing w:line="360" w:lineRule="auto"/>
        <w:ind w:left="709" w:hanging="425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  <w:lang w:val="x-none"/>
        </w:rPr>
        <w:t>Analiza będzie polegała na dokonaniu oceny aktualnej sytuacji finansowej podmiotu pod kątem możliwości spłaty zobowiązań oraz oceny ewentualnego wpływu spłaty określonej kwoty na sytuację finansową podmiotu</w:t>
      </w:r>
      <w:r w:rsidR="00F85917" w:rsidRPr="00BC5423">
        <w:rPr>
          <w:rFonts w:asciiTheme="minorHAnsi" w:hAnsiTheme="minorHAnsi" w:cstheme="minorHAnsi"/>
        </w:rPr>
        <w:t xml:space="preserve"> w </w:t>
      </w:r>
      <w:r w:rsidR="00DE73B4" w:rsidRPr="00BC5423">
        <w:rPr>
          <w:rFonts w:asciiTheme="minorHAnsi" w:hAnsiTheme="minorHAnsi" w:cstheme="minorHAnsi"/>
        </w:rPr>
        <w:t>kontekście</w:t>
      </w:r>
      <w:r w:rsidR="00F85917" w:rsidRPr="00BC5423">
        <w:rPr>
          <w:rFonts w:asciiTheme="minorHAnsi" w:hAnsiTheme="minorHAnsi" w:cstheme="minorHAnsi"/>
        </w:rPr>
        <w:t xml:space="preserve"> ww. przesłanek z art. </w:t>
      </w:r>
      <w:r w:rsidR="00156AC5" w:rsidRPr="00BC5423">
        <w:rPr>
          <w:rFonts w:asciiTheme="minorHAnsi" w:hAnsiTheme="minorHAnsi" w:cstheme="minorHAnsi"/>
        </w:rPr>
        <w:t>64</w:t>
      </w:r>
      <w:r w:rsidR="00F85917" w:rsidRPr="00BC5423">
        <w:rPr>
          <w:rFonts w:asciiTheme="minorHAnsi" w:hAnsiTheme="minorHAnsi" w:cstheme="minorHAnsi"/>
        </w:rPr>
        <w:t xml:space="preserve"> ust</w:t>
      </w:r>
      <w:r w:rsidR="009A6864" w:rsidRPr="00BC5423">
        <w:rPr>
          <w:rFonts w:asciiTheme="minorHAnsi" w:hAnsiTheme="minorHAnsi" w:cstheme="minorHAnsi"/>
        </w:rPr>
        <w:t>.</w:t>
      </w:r>
      <w:r w:rsidR="00F85917" w:rsidRPr="00BC5423">
        <w:rPr>
          <w:rFonts w:asciiTheme="minorHAnsi" w:hAnsiTheme="minorHAnsi" w:cstheme="minorHAnsi"/>
        </w:rPr>
        <w:t xml:space="preserve"> 1 pkt </w:t>
      </w:r>
      <w:r w:rsidR="009F635E">
        <w:rPr>
          <w:rFonts w:asciiTheme="minorHAnsi" w:hAnsiTheme="minorHAnsi" w:cstheme="minorHAnsi"/>
        </w:rPr>
        <w:t>2</w:t>
      </w:r>
      <w:r w:rsidR="009F635E" w:rsidRPr="00BC5423">
        <w:rPr>
          <w:rFonts w:asciiTheme="minorHAnsi" w:hAnsiTheme="minorHAnsi" w:cstheme="minorHAnsi"/>
        </w:rPr>
        <w:t xml:space="preserve"> </w:t>
      </w:r>
      <w:r w:rsidR="002D2A2F" w:rsidRPr="00BC5423">
        <w:rPr>
          <w:rFonts w:asciiTheme="minorHAnsi" w:hAnsiTheme="minorHAnsi" w:cstheme="minorHAnsi"/>
        </w:rPr>
        <w:t>Ustawy</w:t>
      </w:r>
      <w:r w:rsidR="00DE73B4" w:rsidRPr="00BC5423">
        <w:rPr>
          <w:rFonts w:asciiTheme="minorHAnsi" w:hAnsiTheme="minorHAnsi" w:cstheme="minorHAnsi"/>
        </w:rPr>
        <w:t xml:space="preserve">. </w:t>
      </w:r>
      <w:r w:rsidRPr="00BC5423">
        <w:rPr>
          <w:rFonts w:asciiTheme="minorHAnsi" w:hAnsiTheme="minorHAnsi" w:cstheme="minorHAnsi"/>
          <w:lang w:val="x-none"/>
        </w:rPr>
        <w:t>W ramach usługi wymagane będzie przeprowadzenie analizy strukturalnej</w:t>
      </w:r>
      <w:r w:rsidR="005020E1" w:rsidRPr="00BC5423">
        <w:rPr>
          <w:rFonts w:asciiTheme="minorHAnsi" w:hAnsiTheme="minorHAnsi" w:cstheme="minorHAnsi"/>
        </w:rPr>
        <w:t xml:space="preserve"> i</w:t>
      </w:r>
      <w:r w:rsidRPr="00BC5423">
        <w:rPr>
          <w:rFonts w:asciiTheme="minorHAnsi" w:hAnsiTheme="minorHAnsi" w:cstheme="minorHAnsi"/>
          <w:lang w:val="x-none"/>
        </w:rPr>
        <w:t xml:space="preserve"> porównawczej </w:t>
      </w:r>
      <w:r w:rsidR="005020E1" w:rsidRPr="00BC5423">
        <w:rPr>
          <w:rFonts w:asciiTheme="minorHAnsi" w:hAnsiTheme="minorHAnsi" w:cstheme="minorHAnsi"/>
        </w:rPr>
        <w:t>(na po</w:t>
      </w:r>
      <w:r w:rsidR="00C42525" w:rsidRPr="00BC5423">
        <w:rPr>
          <w:rFonts w:asciiTheme="minorHAnsi" w:hAnsiTheme="minorHAnsi" w:cstheme="minorHAnsi"/>
        </w:rPr>
        <w:t>d</w:t>
      </w:r>
      <w:r w:rsidR="005020E1" w:rsidRPr="00BC5423">
        <w:rPr>
          <w:rFonts w:asciiTheme="minorHAnsi" w:hAnsiTheme="minorHAnsi" w:cstheme="minorHAnsi"/>
        </w:rPr>
        <w:t xml:space="preserve">stawie analiz wskazanych poniżej w ust. 3 lit. a-c) </w:t>
      </w:r>
      <w:r w:rsidR="00C43EEC" w:rsidRPr="00BC5423">
        <w:rPr>
          <w:rFonts w:asciiTheme="minorHAnsi" w:hAnsiTheme="minorHAnsi" w:cstheme="minorHAnsi"/>
        </w:rPr>
        <w:t>oraz</w:t>
      </w:r>
      <w:r w:rsidRPr="00BC5423">
        <w:rPr>
          <w:rFonts w:asciiTheme="minorHAnsi" w:hAnsiTheme="minorHAnsi" w:cstheme="minorHAnsi"/>
          <w:lang w:val="x-none"/>
        </w:rPr>
        <w:t xml:space="preserve"> wskaźnikowej</w:t>
      </w:r>
      <w:r w:rsidR="002D2A2F" w:rsidRPr="00BC5423">
        <w:rPr>
          <w:rFonts w:asciiTheme="minorHAnsi" w:hAnsiTheme="minorHAnsi" w:cstheme="minorHAnsi"/>
        </w:rPr>
        <w:t xml:space="preserve"> za ostatnie 3 lata</w:t>
      </w:r>
      <w:r w:rsidR="00FF631D" w:rsidRPr="00BC5423">
        <w:rPr>
          <w:rFonts w:asciiTheme="minorHAnsi" w:hAnsiTheme="minorHAnsi" w:cstheme="minorHAnsi"/>
        </w:rPr>
        <w:t xml:space="preserve"> obrotowe</w:t>
      </w:r>
      <w:r w:rsidR="009F33C5" w:rsidRPr="00BC5423">
        <w:rPr>
          <w:rFonts w:asciiTheme="minorHAnsi" w:hAnsiTheme="minorHAnsi" w:cstheme="minorHAnsi"/>
        </w:rPr>
        <w:t xml:space="preserve">, licząc </w:t>
      </w:r>
      <w:r w:rsidR="00AF3119" w:rsidRPr="00BC5423">
        <w:rPr>
          <w:rFonts w:asciiTheme="minorHAnsi" w:hAnsiTheme="minorHAnsi" w:cstheme="minorHAnsi"/>
        </w:rPr>
        <w:t xml:space="preserve">wstecz </w:t>
      </w:r>
      <w:r w:rsidR="009F33C5" w:rsidRPr="00BC5423">
        <w:rPr>
          <w:rFonts w:asciiTheme="minorHAnsi" w:hAnsiTheme="minorHAnsi" w:cstheme="minorHAnsi"/>
        </w:rPr>
        <w:t>od dnia złożenia wniosku przez Beneficjenta</w:t>
      </w:r>
      <w:r w:rsidR="00FF631D" w:rsidRPr="00BC5423">
        <w:rPr>
          <w:rFonts w:asciiTheme="minorHAnsi" w:hAnsiTheme="minorHAnsi" w:cstheme="minorHAnsi"/>
        </w:rPr>
        <w:t>.</w:t>
      </w:r>
    </w:p>
    <w:p w14:paraId="6DFAD899" w14:textId="77777777" w:rsidR="00763552" w:rsidRPr="00BC5423" w:rsidRDefault="00763552" w:rsidP="00BC5423">
      <w:pPr>
        <w:numPr>
          <w:ilvl w:val="1"/>
          <w:numId w:val="3"/>
        </w:numPr>
        <w:spacing w:line="360" w:lineRule="auto"/>
        <w:ind w:left="709" w:hanging="425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 xml:space="preserve">Wykonawca dokona </w:t>
      </w:r>
      <w:r w:rsidR="00531D6F" w:rsidRPr="00BC5423">
        <w:rPr>
          <w:rFonts w:asciiTheme="minorHAnsi" w:hAnsiTheme="minorHAnsi" w:cstheme="minorHAnsi"/>
        </w:rPr>
        <w:t>Analizy</w:t>
      </w:r>
      <w:r w:rsidRPr="00BC5423">
        <w:rPr>
          <w:rFonts w:asciiTheme="minorHAnsi" w:hAnsiTheme="minorHAnsi" w:cstheme="minorHAnsi"/>
        </w:rPr>
        <w:t xml:space="preserve"> na podstawie dokumentów źródłowych uzyskanych od Beneficjent</w:t>
      </w:r>
      <w:r w:rsidR="00FF12F2" w:rsidRPr="00BC5423">
        <w:rPr>
          <w:rFonts w:asciiTheme="minorHAnsi" w:hAnsiTheme="minorHAnsi" w:cstheme="minorHAnsi"/>
        </w:rPr>
        <w:t>a</w:t>
      </w:r>
      <w:r w:rsidR="001F7E5F" w:rsidRPr="00BC5423">
        <w:rPr>
          <w:rFonts w:asciiTheme="minorHAnsi" w:hAnsiTheme="minorHAnsi" w:cstheme="minorHAnsi"/>
        </w:rPr>
        <w:t>,</w:t>
      </w:r>
      <w:r w:rsidR="00C42525" w:rsidRPr="00BC5423">
        <w:rPr>
          <w:rFonts w:asciiTheme="minorHAnsi" w:hAnsiTheme="minorHAnsi" w:cstheme="minorHAnsi"/>
        </w:rPr>
        <w:t xml:space="preserve"> </w:t>
      </w:r>
      <w:r w:rsidR="0097391A" w:rsidRPr="00BC5423">
        <w:rPr>
          <w:rFonts w:asciiTheme="minorHAnsi" w:hAnsiTheme="minorHAnsi" w:cstheme="minorHAnsi"/>
        </w:rPr>
        <w:t>w</w:t>
      </w:r>
      <w:r w:rsidR="00FF12F2" w:rsidRPr="00BC5423" w:rsidDel="00FF12F2">
        <w:rPr>
          <w:rFonts w:asciiTheme="minorHAnsi" w:hAnsiTheme="minorHAnsi" w:cstheme="minorHAnsi"/>
        </w:rPr>
        <w:t xml:space="preserve"> </w:t>
      </w:r>
      <w:r w:rsidRPr="00BC5423">
        <w:rPr>
          <w:rFonts w:asciiTheme="minorHAnsi" w:hAnsiTheme="minorHAnsi" w:cstheme="minorHAnsi"/>
        </w:rPr>
        <w:t xml:space="preserve">tym m.in.: </w:t>
      </w:r>
    </w:p>
    <w:p w14:paraId="4B54500E" w14:textId="77777777" w:rsidR="00763552" w:rsidRPr="00BC5423" w:rsidRDefault="00763552" w:rsidP="00BC5423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 xml:space="preserve">Analizy bilansu; </w:t>
      </w:r>
    </w:p>
    <w:p w14:paraId="7C900744" w14:textId="77777777" w:rsidR="00763552" w:rsidRPr="00BC5423" w:rsidRDefault="00763552" w:rsidP="00BC5423">
      <w:pPr>
        <w:pStyle w:val="Akapitzlist"/>
        <w:spacing w:line="360" w:lineRule="auto"/>
        <w:ind w:left="1069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>Analizy poziomej, pionowej, określenia źródeł finansowania oraz analizy struktury kapitałowo-majątkowej;</w:t>
      </w:r>
    </w:p>
    <w:p w14:paraId="3C73C845" w14:textId="77777777" w:rsidR="00763552" w:rsidRPr="00BC5423" w:rsidRDefault="00763552" w:rsidP="00BC5423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 xml:space="preserve">Analizy rachunku zysków i strat; </w:t>
      </w:r>
    </w:p>
    <w:p w14:paraId="40D6CF9D" w14:textId="77777777" w:rsidR="00763552" w:rsidRPr="00BC5423" w:rsidRDefault="00763552" w:rsidP="00BC5423">
      <w:pPr>
        <w:pStyle w:val="Akapitzlist"/>
        <w:spacing w:line="360" w:lineRule="auto"/>
        <w:ind w:left="1069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 xml:space="preserve">Analizy poziomej, pionowej oraz badania relacji zachodzących pomiędzy poszczególnymi kategoriami wyniku finansowego. </w:t>
      </w:r>
    </w:p>
    <w:p w14:paraId="0BE79DFE" w14:textId="77777777" w:rsidR="00763552" w:rsidRPr="00BC5423" w:rsidRDefault="00763552" w:rsidP="00BC5423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 xml:space="preserve">Analizy rachunku przepływów pieniężnych; </w:t>
      </w:r>
    </w:p>
    <w:p w14:paraId="4FA4D896" w14:textId="77777777" w:rsidR="00763552" w:rsidRPr="00BC5423" w:rsidRDefault="00763552" w:rsidP="00BC5423">
      <w:pPr>
        <w:spacing w:line="360" w:lineRule="auto"/>
        <w:ind w:left="1494" w:hanging="425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 xml:space="preserve">Analizy działalności operacyjnej, inwestycyjnej i finansowej. </w:t>
      </w:r>
    </w:p>
    <w:p w14:paraId="0215DEFE" w14:textId="77777777" w:rsidR="00763552" w:rsidRPr="00BC5423" w:rsidRDefault="00763552" w:rsidP="00BC5423">
      <w:pPr>
        <w:numPr>
          <w:ilvl w:val="1"/>
          <w:numId w:val="3"/>
        </w:numPr>
        <w:spacing w:line="360" w:lineRule="auto"/>
        <w:ind w:left="709" w:hanging="425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lastRenderedPageBreak/>
        <w:t xml:space="preserve">Analiza wskaźnikowa obejmować będzie w szczególności wyliczenie następujących wskaźników: </w:t>
      </w:r>
    </w:p>
    <w:p w14:paraId="1C186A5A" w14:textId="77777777" w:rsidR="00763552" w:rsidRPr="00BC5423" w:rsidRDefault="00763552" w:rsidP="00BC5423">
      <w:pPr>
        <w:pStyle w:val="Akapitzlist"/>
        <w:numPr>
          <w:ilvl w:val="0"/>
          <w:numId w:val="7"/>
        </w:numPr>
        <w:spacing w:line="360" w:lineRule="auto"/>
        <w:ind w:left="1162" w:hanging="425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 xml:space="preserve">wskaźnik rentowności sprzedaży ROS = wynik finansowy netto/kapitał własny; </w:t>
      </w:r>
    </w:p>
    <w:p w14:paraId="6FB4BB63" w14:textId="77777777" w:rsidR="00763552" w:rsidRPr="00BC5423" w:rsidRDefault="00763552" w:rsidP="00BC5423">
      <w:pPr>
        <w:pStyle w:val="Akapitzlist"/>
        <w:numPr>
          <w:ilvl w:val="0"/>
          <w:numId w:val="7"/>
        </w:numPr>
        <w:spacing w:line="360" w:lineRule="auto"/>
        <w:ind w:left="1162" w:hanging="425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 xml:space="preserve">wskaźnik płynności bieżącej (CR) = aktywa obrotowe/zobowiązania krótkoterminowe; </w:t>
      </w:r>
    </w:p>
    <w:p w14:paraId="0385BAC2" w14:textId="77777777" w:rsidR="00763552" w:rsidRPr="00BC5423" w:rsidRDefault="00763552" w:rsidP="00BC5423">
      <w:pPr>
        <w:pStyle w:val="Akapitzlist"/>
        <w:numPr>
          <w:ilvl w:val="0"/>
          <w:numId w:val="7"/>
        </w:numPr>
        <w:spacing w:line="360" w:lineRule="auto"/>
        <w:ind w:left="1162" w:hanging="425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>wskaźnik wypłacalności gotówkowej (SQR) = środki pieniężne/zobowiązania krótkoterminowe;</w:t>
      </w:r>
    </w:p>
    <w:p w14:paraId="3C5A4645" w14:textId="77777777" w:rsidR="00763552" w:rsidRPr="00BC5423" w:rsidRDefault="00763552" w:rsidP="00BC5423">
      <w:pPr>
        <w:pStyle w:val="Akapitzlist"/>
        <w:numPr>
          <w:ilvl w:val="0"/>
          <w:numId w:val="7"/>
        </w:numPr>
        <w:spacing w:line="360" w:lineRule="auto"/>
        <w:ind w:left="1162" w:hanging="425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>wskaźnik zadłużenia.</w:t>
      </w:r>
    </w:p>
    <w:p w14:paraId="58A6D0F7" w14:textId="26D5A3CA" w:rsidR="000E02C4" w:rsidRPr="00BC5423" w:rsidRDefault="000E02C4" w:rsidP="00BC5423">
      <w:pPr>
        <w:numPr>
          <w:ilvl w:val="1"/>
          <w:numId w:val="3"/>
        </w:numPr>
        <w:spacing w:line="360" w:lineRule="auto"/>
        <w:ind w:left="709" w:hanging="425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</w:rPr>
        <w:t xml:space="preserve">Wykonawca dokona szczegółowego opisu wykonanych przez siebie analiz </w:t>
      </w:r>
      <w:r w:rsidR="004B6939">
        <w:rPr>
          <w:rFonts w:asciiTheme="minorHAnsi" w:hAnsiTheme="minorHAnsi" w:cstheme="minorHAnsi"/>
        </w:rPr>
        <w:t xml:space="preserve">i wniosków </w:t>
      </w:r>
      <w:r w:rsidRPr="00BC5423">
        <w:rPr>
          <w:rFonts w:asciiTheme="minorHAnsi" w:hAnsiTheme="minorHAnsi" w:cstheme="minorHAnsi"/>
        </w:rPr>
        <w:t>wraz z opisem przygotowanych Tabel/wykresów.</w:t>
      </w:r>
    </w:p>
    <w:p w14:paraId="6E469BD5" w14:textId="546F9B54" w:rsidR="00763552" w:rsidRPr="00BC5423" w:rsidRDefault="00763552" w:rsidP="00BC5423">
      <w:pPr>
        <w:numPr>
          <w:ilvl w:val="1"/>
          <w:numId w:val="3"/>
        </w:numPr>
        <w:spacing w:line="360" w:lineRule="auto"/>
        <w:ind w:left="709" w:hanging="425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  <w:lang w:val="x-none"/>
        </w:rPr>
        <w:t xml:space="preserve">Wykonawca może zaproponować zamiennie lub uzupełniająco inne wskaźniki powszechnie znane i wykorzystywane w celach </w:t>
      </w:r>
      <w:r w:rsidR="00531D6F" w:rsidRPr="00BC5423">
        <w:rPr>
          <w:rFonts w:asciiTheme="minorHAnsi" w:hAnsiTheme="minorHAnsi" w:cstheme="minorHAnsi"/>
        </w:rPr>
        <w:t>przeprowadzenia analizy fina</w:t>
      </w:r>
      <w:r w:rsidR="00BC450C" w:rsidRPr="00BC5423">
        <w:rPr>
          <w:rFonts w:asciiTheme="minorHAnsi" w:hAnsiTheme="minorHAnsi" w:cstheme="minorHAnsi"/>
        </w:rPr>
        <w:t>n</w:t>
      </w:r>
      <w:r w:rsidR="00531D6F" w:rsidRPr="00BC5423">
        <w:rPr>
          <w:rFonts w:asciiTheme="minorHAnsi" w:hAnsiTheme="minorHAnsi" w:cstheme="minorHAnsi"/>
        </w:rPr>
        <w:t>sowej</w:t>
      </w:r>
      <w:r w:rsidRPr="00BC5423">
        <w:rPr>
          <w:rFonts w:asciiTheme="minorHAnsi" w:hAnsiTheme="minorHAnsi" w:cstheme="minorHAnsi"/>
          <w:lang w:val="x-none"/>
        </w:rPr>
        <w:t xml:space="preserve"> przedsiębiorstw, innych organizacji, w tym non-profit oraz jed</w:t>
      </w:r>
      <w:r w:rsidR="00531D6F" w:rsidRPr="00BC5423">
        <w:rPr>
          <w:rFonts w:asciiTheme="minorHAnsi" w:hAnsiTheme="minorHAnsi" w:cstheme="minorHAnsi"/>
          <w:lang w:val="x-none"/>
        </w:rPr>
        <w:t>nostek samorządu terytorialnego</w:t>
      </w:r>
      <w:r w:rsidR="00975530" w:rsidRPr="00BC5423">
        <w:rPr>
          <w:rFonts w:asciiTheme="minorHAnsi" w:hAnsiTheme="minorHAnsi" w:cstheme="minorHAnsi"/>
        </w:rPr>
        <w:t>,</w:t>
      </w:r>
      <w:r w:rsidR="00FF12F2" w:rsidRPr="00BC5423">
        <w:rPr>
          <w:rFonts w:asciiTheme="minorHAnsi" w:hAnsiTheme="minorHAnsi" w:cstheme="minorHAnsi"/>
        </w:rPr>
        <w:t xml:space="preserve"> a także może skorzystać z danych udostępnianych na stronach internetowych urzędów administracji rządowej (np. GUS, UOKIK, Ministerstwa Finansów)</w:t>
      </w:r>
      <w:r w:rsidR="009A6864" w:rsidRPr="00BC5423">
        <w:rPr>
          <w:rStyle w:val="Odwoaniedokomentarza"/>
          <w:rFonts w:asciiTheme="minorHAnsi" w:hAnsiTheme="minorHAnsi" w:cstheme="minorHAnsi"/>
          <w:sz w:val="24"/>
          <w:szCs w:val="24"/>
        </w:rPr>
        <w:t>.</w:t>
      </w:r>
      <w:r w:rsidR="00FF12F2" w:rsidRPr="00BC5423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  <w:r w:rsidR="00FF12F2" w:rsidRPr="00BC5423">
        <w:rPr>
          <w:rFonts w:asciiTheme="minorHAnsi" w:hAnsiTheme="minorHAnsi" w:cstheme="minorHAnsi"/>
        </w:rPr>
        <w:t xml:space="preserve"> </w:t>
      </w:r>
      <w:r w:rsidRPr="00BC5423">
        <w:rPr>
          <w:rFonts w:asciiTheme="minorHAnsi" w:hAnsiTheme="minorHAnsi" w:cstheme="minorHAnsi"/>
          <w:lang w:val="x-none"/>
        </w:rPr>
        <w:t>Wykonawca określi te wskaźniki, ob</w:t>
      </w:r>
      <w:r w:rsidR="00AF3119" w:rsidRPr="00BC5423">
        <w:rPr>
          <w:rFonts w:asciiTheme="minorHAnsi" w:hAnsiTheme="minorHAnsi" w:cstheme="minorHAnsi"/>
          <w:lang w:val="x-none"/>
        </w:rPr>
        <w:t>liczy, uzasadni ich przydatność</w:t>
      </w:r>
      <w:r w:rsidR="00AF3119" w:rsidRPr="00BC5423">
        <w:rPr>
          <w:rFonts w:asciiTheme="minorHAnsi" w:hAnsiTheme="minorHAnsi" w:cstheme="minorHAnsi"/>
          <w:lang w:val="x-none"/>
        </w:rPr>
        <w:br/>
      </w:r>
      <w:r w:rsidRPr="00BC5423">
        <w:rPr>
          <w:rFonts w:asciiTheme="minorHAnsi" w:hAnsiTheme="minorHAnsi" w:cstheme="minorHAnsi"/>
          <w:lang w:val="x-none"/>
        </w:rPr>
        <w:t>w ocenie finansowej podmiotu ubiegającego się o ulgę w spłacie zobowiązań oraz uwzględni je w analizie sytuacji finansowej podmiotu ubiegającego się o ulgę.</w:t>
      </w:r>
    </w:p>
    <w:p w14:paraId="25D52142" w14:textId="77777777" w:rsidR="00DC23E8" w:rsidRPr="00BC5423" w:rsidRDefault="00DC23E8" w:rsidP="00BC5423">
      <w:pPr>
        <w:spacing w:line="360" w:lineRule="auto"/>
        <w:rPr>
          <w:rFonts w:asciiTheme="minorHAnsi" w:hAnsiTheme="minorHAnsi" w:cstheme="minorHAnsi"/>
          <w:lang w:val="x-none"/>
        </w:rPr>
      </w:pPr>
    </w:p>
    <w:p w14:paraId="7C69A396" w14:textId="77777777" w:rsidR="00DC23E8" w:rsidRPr="00BC5423" w:rsidRDefault="00DC23E8" w:rsidP="00BC5423">
      <w:pPr>
        <w:pStyle w:val="Akapitzlist"/>
        <w:numPr>
          <w:ilvl w:val="0"/>
          <w:numId w:val="1"/>
        </w:numPr>
        <w:spacing w:after="120" w:line="360" w:lineRule="auto"/>
        <w:ind w:left="493" w:hanging="425"/>
        <w:rPr>
          <w:rFonts w:asciiTheme="minorHAnsi" w:hAnsiTheme="minorHAnsi" w:cstheme="minorHAnsi"/>
          <w:b/>
          <w:lang w:val="x-none"/>
        </w:rPr>
      </w:pPr>
      <w:r w:rsidRPr="00BC5423">
        <w:rPr>
          <w:rFonts w:asciiTheme="minorHAnsi" w:hAnsiTheme="minorHAnsi" w:cstheme="minorHAnsi"/>
          <w:b/>
        </w:rPr>
        <w:t>ZASADY REALIZACJI USŁUGI</w:t>
      </w:r>
    </w:p>
    <w:p w14:paraId="3766CC4E" w14:textId="77777777" w:rsidR="00757A87" w:rsidRPr="00BC5423" w:rsidRDefault="00757A87" w:rsidP="00BC5423">
      <w:pPr>
        <w:numPr>
          <w:ilvl w:val="1"/>
          <w:numId w:val="8"/>
        </w:numPr>
        <w:spacing w:line="360" w:lineRule="auto"/>
        <w:ind w:left="709" w:hanging="425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</w:rPr>
        <w:t>Wykonawca zobowiązany jest do każdorazowego opisania (wraz z podsumowaniem</w:t>
      </w:r>
      <w:r w:rsidRPr="00BC5423">
        <w:rPr>
          <w:rFonts w:asciiTheme="minorHAnsi" w:hAnsiTheme="minorHAnsi" w:cstheme="minorHAnsi"/>
        </w:rPr>
        <w:br/>
        <w:t>i podaniem źródeł) dokonanych analiz oraz wniosków z nich płynących.</w:t>
      </w:r>
    </w:p>
    <w:p w14:paraId="7DB8AC04" w14:textId="0E56540D" w:rsidR="00757A87" w:rsidRPr="004B6939" w:rsidRDefault="00757A87" w:rsidP="00BC5423">
      <w:pPr>
        <w:numPr>
          <w:ilvl w:val="1"/>
          <w:numId w:val="8"/>
        </w:numPr>
        <w:spacing w:line="360" w:lineRule="auto"/>
        <w:ind w:left="709" w:hanging="425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  <w:lang w:val="x-none"/>
        </w:rPr>
        <w:t xml:space="preserve">Zamawiający zleci Wykonawcy przeprowadzenie Analizy pocztą elektroniczną </w:t>
      </w:r>
      <w:r w:rsidRPr="00BC5423">
        <w:rPr>
          <w:rFonts w:asciiTheme="minorHAnsi" w:hAnsiTheme="minorHAnsi" w:cstheme="minorHAnsi"/>
          <w:lang w:val="x-none"/>
        </w:rPr>
        <w:br/>
        <w:t xml:space="preserve">na adres Wykonawcy wskazany w </w:t>
      </w:r>
      <w:r w:rsidRPr="00BC5423">
        <w:rPr>
          <w:rFonts w:asciiTheme="minorHAnsi" w:hAnsiTheme="minorHAnsi" w:cstheme="minorHAnsi"/>
        </w:rPr>
        <w:t>umowie</w:t>
      </w:r>
      <w:r w:rsidRPr="00BC5423">
        <w:rPr>
          <w:rFonts w:asciiTheme="minorHAnsi" w:hAnsiTheme="minorHAnsi" w:cstheme="minorHAnsi"/>
          <w:lang w:val="x-none"/>
        </w:rPr>
        <w:t>. Wraz ze zleceniem</w:t>
      </w:r>
      <w:r w:rsidRPr="00BC5423">
        <w:rPr>
          <w:rFonts w:asciiTheme="minorHAnsi" w:hAnsiTheme="minorHAnsi" w:cstheme="minorHAnsi"/>
        </w:rPr>
        <w:t>,</w:t>
      </w:r>
      <w:r w:rsidRPr="00BC5423">
        <w:rPr>
          <w:rFonts w:asciiTheme="minorHAnsi" w:hAnsiTheme="minorHAnsi" w:cstheme="minorHAnsi"/>
          <w:lang w:val="x-none"/>
        </w:rPr>
        <w:t xml:space="preserve"> Zamawiający przekaże Wykonawcy </w:t>
      </w:r>
      <w:r w:rsidRPr="00BC5423">
        <w:rPr>
          <w:rFonts w:asciiTheme="minorHAnsi" w:hAnsiTheme="minorHAnsi" w:cstheme="minorHAnsi"/>
        </w:rPr>
        <w:t>dokument pn.: „</w:t>
      </w:r>
      <w:r w:rsidRPr="00BC5423">
        <w:rPr>
          <w:rFonts w:asciiTheme="minorHAnsi" w:hAnsiTheme="minorHAnsi" w:cstheme="minorHAnsi"/>
          <w:lang w:val="x-none"/>
        </w:rPr>
        <w:t>Deklaracj</w:t>
      </w:r>
      <w:r w:rsidRPr="00BC5423">
        <w:rPr>
          <w:rFonts w:asciiTheme="minorHAnsi" w:hAnsiTheme="minorHAnsi" w:cstheme="minorHAnsi"/>
        </w:rPr>
        <w:t>a</w:t>
      </w:r>
      <w:r w:rsidRPr="00BC5423">
        <w:rPr>
          <w:rFonts w:asciiTheme="minorHAnsi" w:hAnsiTheme="minorHAnsi" w:cstheme="minorHAnsi"/>
          <w:lang w:val="x-none"/>
        </w:rPr>
        <w:t xml:space="preserve"> bezstronności</w:t>
      </w:r>
      <w:r w:rsidRPr="00BC5423">
        <w:rPr>
          <w:rFonts w:asciiTheme="minorHAnsi" w:hAnsiTheme="minorHAnsi" w:cstheme="minorHAnsi"/>
        </w:rPr>
        <w:t xml:space="preserve"> i poufności”,</w:t>
      </w:r>
      <w:r w:rsidRPr="00BC5423">
        <w:rPr>
          <w:rFonts w:asciiTheme="minorHAnsi" w:hAnsiTheme="minorHAnsi" w:cstheme="minorHAnsi"/>
          <w:lang w:val="x-none"/>
        </w:rPr>
        <w:t xml:space="preserve"> według wzoru stanowiącego </w:t>
      </w:r>
      <w:r w:rsidRPr="00BC5423">
        <w:rPr>
          <w:rFonts w:asciiTheme="minorHAnsi" w:hAnsiTheme="minorHAnsi" w:cstheme="minorHAnsi"/>
          <w:bCs/>
        </w:rPr>
        <w:t>załącznik</w:t>
      </w:r>
      <w:r w:rsidRPr="00BC5423">
        <w:rPr>
          <w:rFonts w:asciiTheme="minorHAnsi" w:hAnsiTheme="minorHAnsi" w:cstheme="minorHAnsi"/>
          <w:b/>
          <w:bCs/>
          <w:lang w:val="x-none"/>
        </w:rPr>
        <w:t xml:space="preserve"> </w:t>
      </w:r>
      <w:r w:rsidR="00B743F9" w:rsidRPr="00307A7A">
        <w:rPr>
          <w:rFonts w:asciiTheme="minorHAnsi" w:hAnsiTheme="minorHAnsi" w:cstheme="minorHAnsi"/>
        </w:rPr>
        <w:t>nr 6</w:t>
      </w:r>
      <w:r w:rsidR="00B743F9">
        <w:rPr>
          <w:rFonts w:asciiTheme="minorHAnsi" w:hAnsiTheme="minorHAnsi" w:cstheme="minorHAnsi"/>
          <w:b/>
          <w:bCs/>
        </w:rPr>
        <w:t xml:space="preserve"> </w:t>
      </w:r>
      <w:r w:rsidRPr="00BC5423">
        <w:rPr>
          <w:rFonts w:asciiTheme="minorHAnsi" w:hAnsiTheme="minorHAnsi" w:cstheme="minorHAnsi"/>
          <w:lang w:val="x-none"/>
        </w:rPr>
        <w:t xml:space="preserve">do </w:t>
      </w:r>
      <w:r w:rsidRPr="00BC5423">
        <w:rPr>
          <w:rFonts w:asciiTheme="minorHAnsi" w:hAnsiTheme="minorHAnsi" w:cstheme="minorHAnsi"/>
        </w:rPr>
        <w:t>umowy</w:t>
      </w:r>
      <w:r w:rsidRPr="00BC5423">
        <w:rPr>
          <w:rFonts w:asciiTheme="minorHAnsi" w:hAnsiTheme="minorHAnsi" w:cstheme="minorHAnsi"/>
          <w:lang w:val="x-none"/>
        </w:rPr>
        <w:t>, któr</w:t>
      </w:r>
      <w:r w:rsidRPr="00BC5423">
        <w:rPr>
          <w:rFonts w:asciiTheme="minorHAnsi" w:hAnsiTheme="minorHAnsi" w:cstheme="minorHAnsi"/>
        </w:rPr>
        <w:t>y</w:t>
      </w:r>
      <w:r w:rsidRPr="00BC5423">
        <w:rPr>
          <w:rFonts w:asciiTheme="minorHAnsi" w:hAnsiTheme="minorHAnsi" w:cstheme="minorHAnsi"/>
          <w:lang w:val="x-none"/>
        </w:rPr>
        <w:t xml:space="preserve"> Wykonawca wypełni w odniesieniu do podmiotu, którego będzie dotyczyć Analiza. </w:t>
      </w:r>
      <w:r w:rsidRPr="00BC5423">
        <w:rPr>
          <w:rFonts w:asciiTheme="minorHAnsi" w:hAnsiTheme="minorHAnsi" w:cstheme="minorHAnsi"/>
        </w:rPr>
        <w:t xml:space="preserve">Po odesłaniu podpisanej podpisem kwalifikowanym ww. deklaracji przez Wykonawcę, </w:t>
      </w:r>
      <w:r w:rsidRPr="00BC5423">
        <w:rPr>
          <w:rFonts w:asciiTheme="minorHAnsi" w:hAnsiTheme="minorHAnsi" w:cstheme="minorHAnsi"/>
          <w:lang w:val="x-none"/>
        </w:rPr>
        <w:t>Zamawiający udostępni materiały, dane i dokumentacj</w:t>
      </w:r>
      <w:r w:rsidRPr="00BC5423">
        <w:rPr>
          <w:rFonts w:asciiTheme="minorHAnsi" w:hAnsiTheme="minorHAnsi" w:cstheme="minorHAnsi"/>
        </w:rPr>
        <w:t xml:space="preserve">ę otrzymane od podmiotów wnioskujących o ulgę, </w:t>
      </w:r>
      <w:r w:rsidRPr="00BC5423">
        <w:rPr>
          <w:rFonts w:asciiTheme="minorHAnsi" w:hAnsiTheme="minorHAnsi" w:cstheme="minorHAnsi"/>
          <w:lang w:val="x-none"/>
        </w:rPr>
        <w:t>niezbędne do wykonania Analizy.</w:t>
      </w:r>
      <w:r w:rsidR="00394F84" w:rsidRPr="00BC5423">
        <w:rPr>
          <w:rFonts w:asciiTheme="minorHAnsi" w:hAnsiTheme="minorHAnsi" w:cstheme="minorHAnsi"/>
        </w:rPr>
        <w:t xml:space="preserve"> Zamawiający jest uprawniony do </w:t>
      </w:r>
      <w:r w:rsidR="005F6BD5" w:rsidRPr="00BC5423">
        <w:rPr>
          <w:rFonts w:asciiTheme="minorHAnsi" w:hAnsiTheme="minorHAnsi" w:cstheme="minorHAnsi"/>
        </w:rPr>
        <w:t xml:space="preserve">złożenia Wykonawcy </w:t>
      </w:r>
      <w:r w:rsidR="00394F84" w:rsidRPr="00BC5423">
        <w:rPr>
          <w:rFonts w:asciiTheme="minorHAnsi" w:hAnsiTheme="minorHAnsi" w:cstheme="minorHAnsi"/>
        </w:rPr>
        <w:t xml:space="preserve">zlecenia </w:t>
      </w:r>
      <w:r w:rsidR="00394F84" w:rsidRPr="00BC5423">
        <w:rPr>
          <w:rFonts w:asciiTheme="minorHAnsi" w:hAnsiTheme="minorHAnsi" w:cstheme="minorHAnsi"/>
        </w:rPr>
        <w:lastRenderedPageBreak/>
        <w:t>Analizy do końca okresu obowiązywania Umowy, nawet w sytuacji</w:t>
      </w:r>
      <w:r w:rsidR="005F6BD5" w:rsidRPr="00BC5423">
        <w:rPr>
          <w:rFonts w:asciiTheme="minorHAnsi" w:hAnsiTheme="minorHAnsi" w:cstheme="minorHAnsi"/>
        </w:rPr>
        <w:t xml:space="preserve"> gdy termin jej realizacji przypadnie poza tym okresem.</w:t>
      </w:r>
    </w:p>
    <w:p w14:paraId="30124C8F" w14:textId="2AE757D8" w:rsidR="004B6939" w:rsidRPr="00BC5423" w:rsidRDefault="004B6939" w:rsidP="00BC5423">
      <w:pPr>
        <w:numPr>
          <w:ilvl w:val="1"/>
          <w:numId w:val="8"/>
        </w:numPr>
        <w:spacing w:line="360" w:lineRule="auto"/>
        <w:ind w:left="709" w:hanging="425"/>
        <w:rPr>
          <w:rFonts w:asciiTheme="minorHAnsi" w:hAnsiTheme="minorHAnsi" w:cstheme="minorHAnsi"/>
          <w:lang w:val="x-none"/>
        </w:rPr>
      </w:pPr>
      <w:r>
        <w:rPr>
          <w:rFonts w:asciiTheme="minorHAnsi" w:hAnsiTheme="minorHAnsi" w:cstheme="minorHAnsi"/>
        </w:rPr>
        <w:t xml:space="preserve">W przypadku stwierdzenia braków w przekazanej przez Zamawiającego dokumentacji, Wykonawca w przeciągu 5 dni roboczych przekaże Zamawiającemu listę dokumentów niezbędnych do przeprowadzenia analizy. </w:t>
      </w:r>
    </w:p>
    <w:p w14:paraId="30AC13EF" w14:textId="77777777" w:rsidR="00757A87" w:rsidRPr="00BC5423" w:rsidRDefault="00757A87" w:rsidP="00BC5423">
      <w:pPr>
        <w:numPr>
          <w:ilvl w:val="1"/>
          <w:numId w:val="8"/>
        </w:numPr>
        <w:spacing w:line="360" w:lineRule="auto"/>
        <w:ind w:left="709" w:hanging="425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  <w:lang w:val="x-none"/>
        </w:rPr>
        <w:t xml:space="preserve">W terminie do </w:t>
      </w:r>
      <w:r w:rsidRPr="00BC5423">
        <w:rPr>
          <w:rFonts w:asciiTheme="minorHAnsi" w:hAnsiTheme="minorHAnsi" w:cstheme="minorHAnsi"/>
        </w:rPr>
        <w:t>14</w:t>
      </w:r>
      <w:r w:rsidRPr="00BC5423">
        <w:rPr>
          <w:rFonts w:asciiTheme="minorHAnsi" w:hAnsiTheme="minorHAnsi" w:cstheme="minorHAnsi"/>
          <w:lang w:val="x-none"/>
        </w:rPr>
        <w:t xml:space="preserve"> dni roboczych od otrzymania kompletnej dokumentacji</w:t>
      </w:r>
      <w:r w:rsidRPr="00BC5423">
        <w:rPr>
          <w:rFonts w:asciiTheme="minorHAnsi" w:hAnsiTheme="minorHAnsi" w:cstheme="minorHAnsi"/>
        </w:rPr>
        <w:t>,</w:t>
      </w:r>
      <w:r w:rsidRPr="00BC5423">
        <w:rPr>
          <w:rFonts w:asciiTheme="minorHAnsi" w:hAnsiTheme="minorHAnsi" w:cstheme="minorHAnsi"/>
          <w:lang w:val="x-none"/>
        </w:rPr>
        <w:t xml:space="preserve"> Wykonawca przeprowadzi </w:t>
      </w:r>
      <w:r w:rsidRPr="00BC5423">
        <w:rPr>
          <w:rFonts w:asciiTheme="minorHAnsi" w:hAnsiTheme="minorHAnsi" w:cstheme="minorHAnsi"/>
        </w:rPr>
        <w:t>Analizę</w:t>
      </w:r>
      <w:r w:rsidRPr="00BC5423">
        <w:rPr>
          <w:rFonts w:asciiTheme="minorHAnsi" w:hAnsiTheme="minorHAnsi" w:cstheme="minorHAnsi"/>
          <w:lang w:val="x-none"/>
        </w:rPr>
        <w:t xml:space="preserve"> i prześle na adres mailowy: </w:t>
      </w:r>
      <w:hyperlink r:id="rId11" w:history="1">
        <w:r w:rsidRPr="00BC5423">
          <w:rPr>
            <w:rStyle w:val="Hipercze"/>
            <w:rFonts w:asciiTheme="minorHAnsi" w:hAnsiTheme="minorHAnsi" w:cstheme="minorHAnsi"/>
          </w:rPr>
          <w:t>analizy</w:t>
        </w:r>
        <w:r w:rsidRPr="00BC5423">
          <w:rPr>
            <w:rStyle w:val="Hipercze"/>
            <w:rFonts w:asciiTheme="minorHAnsi" w:hAnsiTheme="minorHAnsi" w:cstheme="minorHAnsi"/>
            <w:lang w:val="x-none"/>
          </w:rPr>
          <w:t>@cppc.gov.pl</w:t>
        </w:r>
      </w:hyperlink>
      <w:r w:rsidRPr="00BC5423">
        <w:rPr>
          <w:rStyle w:val="Hipercze"/>
          <w:rFonts w:asciiTheme="minorHAnsi" w:hAnsiTheme="minorHAnsi" w:cstheme="minorHAnsi"/>
        </w:rPr>
        <w:t>:</w:t>
      </w:r>
      <w:r w:rsidRPr="00BC5423">
        <w:rPr>
          <w:rFonts w:asciiTheme="minorHAnsi" w:hAnsiTheme="minorHAnsi" w:cstheme="minorHAnsi"/>
        </w:rPr>
        <w:t xml:space="preserve"> </w:t>
      </w:r>
    </w:p>
    <w:p w14:paraId="548582AD" w14:textId="77777777" w:rsidR="00757A87" w:rsidRPr="00BC5423" w:rsidRDefault="00757A87" w:rsidP="00BC5423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  <w:color w:val="242424"/>
          <w:shd w:val="clear" w:color="auto" w:fill="FFFFFF"/>
        </w:rPr>
        <w:t>wyniki Analizy w wersji edytowalnej w formacie „docx”, zawierające: opis głównych ustaleń wraz z wyliczeniem wskaźników, rekomendację i analizę przesłanek dotyczącą zasadności udzielenia ulgi</w:t>
      </w:r>
      <w:r w:rsidRPr="00BC5423">
        <w:rPr>
          <w:rFonts w:asciiTheme="minorHAnsi" w:hAnsiTheme="minorHAnsi" w:cstheme="minorHAnsi"/>
          <w:lang w:val="x-none"/>
        </w:rPr>
        <w:t>;</w:t>
      </w:r>
    </w:p>
    <w:p w14:paraId="20F3124C" w14:textId="5F8BB37E" w:rsidR="00757A87" w:rsidRPr="00BC5423" w:rsidRDefault="00757A87" w:rsidP="00BC5423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  <w:color w:val="242424"/>
        </w:rPr>
        <w:t xml:space="preserve">arkusz kalkulacyjny w formacie „xlsx” który posłużył do ww. wyliczeń wraz wyliczeniem wysokości kwoty pomocy publicznej lub pomocy </w:t>
      </w:r>
      <w:r w:rsidRPr="00BC5423">
        <w:rPr>
          <w:rFonts w:asciiTheme="minorHAnsi" w:hAnsiTheme="minorHAnsi" w:cstheme="minorHAnsi"/>
          <w:i/>
          <w:color w:val="242424"/>
        </w:rPr>
        <w:t>de minimis</w:t>
      </w:r>
      <w:r w:rsidRPr="00BC5423">
        <w:rPr>
          <w:rFonts w:asciiTheme="minorHAnsi" w:hAnsiTheme="minorHAnsi" w:cstheme="minorHAnsi"/>
          <w:color w:val="242424"/>
        </w:rPr>
        <w:t xml:space="preserve"> (jeżeli występuj</w:t>
      </w:r>
      <w:r w:rsidR="00E9006B" w:rsidRPr="00BC5423">
        <w:rPr>
          <w:rFonts w:asciiTheme="minorHAnsi" w:hAnsiTheme="minorHAnsi" w:cstheme="minorHAnsi"/>
          <w:color w:val="242424"/>
        </w:rPr>
        <w:t>e</w:t>
      </w:r>
      <w:r w:rsidRPr="00BC5423">
        <w:rPr>
          <w:rFonts w:asciiTheme="minorHAnsi" w:hAnsiTheme="minorHAnsi" w:cstheme="minorHAnsi"/>
          <w:color w:val="242424"/>
        </w:rPr>
        <w:t>)</w:t>
      </w:r>
    </w:p>
    <w:p w14:paraId="25FE1E82" w14:textId="27ADBE44" w:rsidR="00763552" w:rsidRPr="00BC5423" w:rsidRDefault="00763552" w:rsidP="00BC5423">
      <w:pPr>
        <w:numPr>
          <w:ilvl w:val="1"/>
          <w:numId w:val="8"/>
        </w:numPr>
        <w:spacing w:line="360" w:lineRule="auto"/>
        <w:ind w:left="709" w:hanging="425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  <w:lang w:val="x-none"/>
        </w:rPr>
        <w:t xml:space="preserve">W terminie </w:t>
      </w:r>
      <w:r w:rsidR="00FF12F2" w:rsidRPr="00BC5423">
        <w:rPr>
          <w:rFonts w:asciiTheme="minorHAnsi" w:hAnsiTheme="minorHAnsi" w:cstheme="minorHAnsi"/>
        </w:rPr>
        <w:t xml:space="preserve">do </w:t>
      </w:r>
      <w:r w:rsidR="008A644A" w:rsidRPr="00BC5423">
        <w:rPr>
          <w:rFonts w:asciiTheme="minorHAnsi" w:hAnsiTheme="minorHAnsi" w:cstheme="minorHAnsi"/>
          <w:lang w:val="x-none"/>
        </w:rPr>
        <w:t xml:space="preserve">14 dni roboczych </w:t>
      </w:r>
      <w:r w:rsidR="008A644A" w:rsidRPr="00BC5423">
        <w:rPr>
          <w:rFonts w:asciiTheme="minorHAnsi" w:hAnsiTheme="minorHAnsi" w:cstheme="minorHAnsi"/>
        </w:rPr>
        <w:t>od</w:t>
      </w:r>
      <w:r w:rsidR="008A644A" w:rsidRPr="00BC5423">
        <w:rPr>
          <w:rFonts w:asciiTheme="minorHAnsi" w:hAnsiTheme="minorHAnsi" w:cstheme="minorHAnsi"/>
          <w:lang w:val="x-none"/>
        </w:rPr>
        <w:t xml:space="preserve"> </w:t>
      </w:r>
      <w:r w:rsidR="00B30152" w:rsidRPr="00BC5423">
        <w:rPr>
          <w:rFonts w:asciiTheme="minorHAnsi" w:hAnsiTheme="minorHAnsi" w:cstheme="minorHAnsi"/>
        </w:rPr>
        <w:t xml:space="preserve">dnia </w:t>
      </w:r>
      <w:r w:rsidR="008A644A" w:rsidRPr="00BC5423">
        <w:rPr>
          <w:rFonts w:asciiTheme="minorHAnsi" w:hAnsiTheme="minorHAnsi" w:cstheme="minorHAnsi"/>
          <w:lang w:val="x-none"/>
        </w:rPr>
        <w:t>otrzymani</w:t>
      </w:r>
      <w:r w:rsidR="008A644A" w:rsidRPr="00BC5423">
        <w:rPr>
          <w:rFonts w:asciiTheme="minorHAnsi" w:hAnsiTheme="minorHAnsi" w:cstheme="minorHAnsi"/>
        </w:rPr>
        <w:t>a</w:t>
      </w:r>
      <w:r w:rsidR="008A644A" w:rsidRPr="00BC5423">
        <w:rPr>
          <w:rFonts w:asciiTheme="minorHAnsi" w:hAnsiTheme="minorHAnsi" w:cstheme="minorHAnsi"/>
          <w:lang w:val="x-none"/>
        </w:rPr>
        <w:t xml:space="preserve"> </w:t>
      </w:r>
      <w:r w:rsidR="00975530" w:rsidRPr="00BC5423">
        <w:rPr>
          <w:rFonts w:asciiTheme="minorHAnsi" w:hAnsiTheme="minorHAnsi" w:cstheme="minorHAnsi"/>
        </w:rPr>
        <w:t>w</w:t>
      </w:r>
      <w:r w:rsidR="00FF12F2" w:rsidRPr="00BC5423">
        <w:rPr>
          <w:rFonts w:asciiTheme="minorHAnsi" w:hAnsiTheme="minorHAnsi" w:cstheme="minorHAnsi"/>
        </w:rPr>
        <w:t xml:space="preserve">yników </w:t>
      </w:r>
      <w:r w:rsidR="008A644A" w:rsidRPr="00BC5423">
        <w:rPr>
          <w:rFonts w:asciiTheme="minorHAnsi" w:hAnsiTheme="minorHAnsi" w:cstheme="minorHAnsi"/>
        </w:rPr>
        <w:t>A</w:t>
      </w:r>
      <w:r w:rsidRPr="00BC5423">
        <w:rPr>
          <w:rFonts w:asciiTheme="minorHAnsi" w:hAnsiTheme="minorHAnsi" w:cstheme="minorHAnsi"/>
          <w:lang w:val="x-none"/>
        </w:rPr>
        <w:t xml:space="preserve">nalizy, Zamawiający jest uprawniony do dokonania </w:t>
      </w:r>
      <w:r w:rsidR="00975530" w:rsidRPr="00BC5423">
        <w:rPr>
          <w:rFonts w:asciiTheme="minorHAnsi" w:hAnsiTheme="minorHAnsi" w:cstheme="minorHAnsi"/>
        </w:rPr>
        <w:t>ich</w:t>
      </w:r>
      <w:r w:rsidR="00975530" w:rsidRPr="00BC5423">
        <w:rPr>
          <w:rFonts w:asciiTheme="minorHAnsi" w:hAnsiTheme="minorHAnsi" w:cstheme="minorHAnsi"/>
          <w:lang w:val="x-none"/>
        </w:rPr>
        <w:t xml:space="preserve"> </w:t>
      </w:r>
      <w:r w:rsidRPr="00BC5423">
        <w:rPr>
          <w:rFonts w:asciiTheme="minorHAnsi" w:hAnsiTheme="minorHAnsi" w:cstheme="minorHAnsi"/>
          <w:lang w:val="x-none"/>
        </w:rPr>
        <w:t>weryfikacji</w:t>
      </w:r>
      <w:r w:rsidR="00B30152" w:rsidRPr="00BC5423">
        <w:rPr>
          <w:rFonts w:asciiTheme="minorHAnsi" w:hAnsiTheme="minorHAnsi" w:cstheme="minorHAnsi"/>
        </w:rPr>
        <w:t xml:space="preserve"> i zgłoszenia ewentualnych uwag</w:t>
      </w:r>
      <w:r w:rsidRPr="00BC5423">
        <w:rPr>
          <w:rFonts w:asciiTheme="minorHAnsi" w:hAnsiTheme="minorHAnsi" w:cstheme="minorHAnsi"/>
          <w:lang w:val="x-none"/>
        </w:rPr>
        <w:t xml:space="preserve">. W przypadku zgłoszenia przez Zamawiającego uwag do przeprowadzonej </w:t>
      </w:r>
      <w:r w:rsidR="00975530" w:rsidRPr="00BC5423">
        <w:rPr>
          <w:rFonts w:asciiTheme="minorHAnsi" w:hAnsiTheme="minorHAnsi" w:cstheme="minorHAnsi"/>
        </w:rPr>
        <w:t>A</w:t>
      </w:r>
      <w:r w:rsidRPr="00BC5423">
        <w:rPr>
          <w:rFonts w:asciiTheme="minorHAnsi" w:hAnsiTheme="minorHAnsi" w:cstheme="minorHAnsi"/>
          <w:lang w:val="x-none"/>
        </w:rPr>
        <w:t>na</w:t>
      </w:r>
      <w:r w:rsidR="00AF3119" w:rsidRPr="00BC5423">
        <w:rPr>
          <w:rFonts w:asciiTheme="minorHAnsi" w:hAnsiTheme="minorHAnsi" w:cstheme="minorHAnsi"/>
          <w:lang w:val="x-none"/>
        </w:rPr>
        <w:t>lizy, Wykonawca zobowiązuje się</w:t>
      </w:r>
      <w:r w:rsidR="00F57487" w:rsidRPr="00BC5423">
        <w:rPr>
          <w:rFonts w:asciiTheme="minorHAnsi" w:hAnsiTheme="minorHAnsi" w:cstheme="minorHAnsi"/>
        </w:rPr>
        <w:t xml:space="preserve"> </w:t>
      </w:r>
      <w:r w:rsidRPr="00BC5423">
        <w:rPr>
          <w:rFonts w:asciiTheme="minorHAnsi" w:hAnsiTheme="minorHAnsi" w:cstheme="minorHAnsi"/>
          <w:lang w:val="x-none"/>
        </w:rPr>
        <w:t>w terminie 5 dni roboczych od dnia zgłoszenia u</w:t>
      </w:r>
      <w:r w:rsidR="00AF3119" w:rsidRPr="00BC5423">
        <w:rPr>
          <w:rFonts w:asciiTheme="minorHAnsi" w:hAnsiTheme="minorHAnsi" w:cstheme="minorHAnsi"/>
          <w:lang w:val="x-none"/>
        </w:rPr>
        <w:t>wag (tj. od dnia wysłania maila</w:t>
      </w:r>
      <w:r w:rsidR="003F2CF9" w:rsidRPr="00BC5423">
        <w:rPr>
          <w:rFonts w:asciiTheme="minorHAnsi" w:hAnsiTheme="minorHAnsi" w:cstheme="minorHAnsi"/>
        </w:rPr>
        <w:t xml:space="preserve"> </w:t>
      </w:r>
      <w:r w:rsidRPr="00BC5423">
        <w:rPr>
          <w:rFonts w:asciiTheme="minorHAnsi" w:hAnsiTheme="minorHAnsi" w:cstheme="minorHAnsi"/>
          <w:lang w:val="x-none"/>
        </w:rPr>
        <w:t xml:space="preserve">z uwagami) </w:t>
      </w:r>
      <w:r w:rsidR="008A644A" w:rsidRPr="00BC5423">
        <w:rPr>
          <w:rFonts w:asciiTheme="minorHAnsi" w:hAnsiTheme="minorHAnsi" w:cstheme="minorHAnsi"/>
          <w:lang w:val="x-none"/>
        </w:rPr>
        <w:t xml:space="preserve">do poprawienia </w:t>
      </w:r>
      <w:r w:rsidR="008A644A" w:rsidRPr="00BC5423">
        <w:rPr>
          <w:rFonts w:asciiTheme="minorHAnsi" w:hAnsiTheme="minorHAnsi" w:cstheme="minorHAnsi"/>
        </w:rPr>
        <w:t>A</w:t>
      </w:r>
      <w:r w:rsidRPr="00BC5423">
        <w:rPr>
          <w:rFonts w:asciiTheme="minorHAnsi" w:hAnsiTheme="minorHAnsi" w:cstheme="minorHAnsi"/>
          <w:lang w:val="x-none"/>
        </w:rPr>
        <w:t xml:space="preserve">nalizy i ponownego przesłania </w:t>
      </w:r>
      <w:r w:rsidR="00975530" w:rsidRPr="00BC5423">
        <w:rPr>
          <w:rFonts w:asciiTheme="minorHAnsi" w:hAnsiTheme="minorHAnsi" w:cstheme="minorHAnsi"/>
        </w:rPr>
        <w:t xml:space="preserve">jej wyników </w:t>
      </w:r>
      <w:r w:rsidRPr="00BC5423">
        <w:rPr>
          <w:rFonts w:asciiTheme="minorHAnsi" w:hAnsiTheme="minorHAnsi" w:cstheme="minorHAnsi"/>
          <w:lang w:val="x-none"/>
        </w:rPr>
        <w:t xml:space="preserve">na adres mailowy: </w:t>
      </w:r>
      <w:hyperlink r:id="rId12" w:history="1"/>
      <w:hyperlink r:id="rId13" w:history="1">
        <w:r w:rsidR="00FF631D" w:rsidRPr="00BC5423">
          <w:rPr>
            <w:rStyle w:val="Hipercze"/>
            <w:rFonts w:asciiTheme="minorHAnsi" w:hAnsiTheme="minorHAnsi" w:cstheme="minorHAnsi"/>
          </w:rPr>
          <w:t>analizy</w:t>
        </w:r>
        <w:r w:rsidR="00FF631D" w:rsidRPr="00BC5423">
          <w:rPr>
            <w:rStyle w:val="Hipercze"/>
            <w:rFonts w:asciiTheme="minorHAnsi" w:hAnsiTheme="minorHAnsi" w:cstheme="minorHAnsi"/>
            <w:lang w:val="x-none"/>
          </w:rPr>
          <w:t>@cppc.gov.pl</w:t>
        </w:r>
      </w:hyperlink>
      <w:r w:rsidRPr="00BC5423">
        <w:rPr>
          <w:rFonts w:asciiTheme="minorHAnsi" w:hAnsiTheme="minorHAnsi" w:cstheme="minorHAnsi"/>
          <w:lang w:val="x-none"/>
        </w:rPr>
        <w:t xml:space="preserve"> </w:t>
      </w:r>
    </w:p>
    <w:p w14:paraId="20E52198" w14:textId="0821B1E5" w:rsidR="00763552" w:rsidRPr="00BC5423" w:rsidRDefault="008A644A" w:rsidP="00BC5423">
      <w:pPr>
        <w:numPr>
          <w:ilvl w:val="1"/>
          <w:numId w:val="8"/>
        </w:numPr>
        <w:spacing w:line="360" w:lineRule="auto"/>
        <w:ind w:left="709" w:hanging="425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  <w:lang w:val="x-none"/>
        </w:rPr>
        <w:t xml:space="preserve">Po ponownym przekazaniu </w:t>
      </w:r>
      <w:r w:rsidR="00FF12F2" w:rsidRPr="00BC5423">
        <w:rPr>
          <w:rFonts w:asciiTheme="minorHAnsi" w:hAnsiTheme="minorHAnsi" w:cstheme="minorHAnsi"/>
        </w:rPr>
        <w:t xml:space="preserve">wyników </w:t>
      </w:r>
      <w:r w:rsidRPr="00BC5423">
        <w:rPr>
          <w:rFonts w:asciiTheme="minorHAnsi" w:hAnsiTheme="minorHAnsi" w:cstheme="minorHAnsi"/>
        </w:rPr>
        <w:t>A</w:t>
      </w:r>
      <w:r w:rsidR="00763552" w:rsidRPr="00BC5423">
        <w:rPr>
          <w:rFonts w:asciiTheme="minorHAnsi" w:hAnsiTheme="minorHAnsi" w:cstheme="minorHAnsi"/>
          <w:lang w:val="x-none"/>
        </w:rPr>
        <w:t xml:space="preserve">nalizy przez Wykonawcę, Zamawiający ma 5 dni roboczych </w:t>
      </w:r>
      <w:r w:rsidR="005524CE" w:rsidRPr="00BC5423">
        <w:rPr>
          <w:rFonts w:asciiTheme="minorHAnsi" w:hAnsiTheme="minorHAnsi" w:cstheme="minorHAnsi"/>
        </w:rPr>
        <w:t>o</w:t>
      </w:r>
      <w:r w:rsidR="003E6B6C" w:rsidRPr="00BC5423">
        <w:rPr>
          <w:rFonts w:asciiTheme="minorHAnsi" w:hAnsiTheme="minorHAnsi" w:cstheme="minorHAnsi"/>
        </w:rPr>
        <w:t>d</w:t>
      </w:r>
      <w:r w:rsidR="005524CE" w:rsidRPr="00BC5423">
        <w:rPr>
          <w:rFonts w:asciiTheme="minorHAnsi" w:hAnsiTheme="minorHAnsi" w:cstheme="minorHAnsi"/>
        </w:rPr>
        <w:t xml:space="preserve"> dnia jej otrzymania </w:t>
      </w:r>
      <w:r w:rsidR="00763552" w:rsidRPr="00BC5423">
        <w:rPr>
          <w:rFonts w:asciiTheme="minorHAnsi" w:hAnsiTheme="minorHAnsi" w:cstheme="minorHAnsi"/>
          <w:lang w:val="x-none"/>
        </w:rPr>
        <w:t xml:space="preserve">na jej zweryfikowanie. W przypadku zgłoszenia przez Zamawiającego uwag do przeprowadzonej </w:t>
      </w:r>
      <w:r w:rsidR="009A2136" w:rsidRPr="00BC5423">
        <w:rPr>
          <w:rFonts w:asciiTheme="minorHAnsi" w:hAnsiTheme="minorHAnsi" w:cstheme="minorHAnsi"/>
        </w:rPr>
        <w:t xml:space="preserve">poprawionej </w:t>
      </w:r>
      <w:r w:rsidR="00975530" w:rsidRPr="00BC5423">
        <w:rPr>
          <w:rFonts w:asciiTheme="minorHAnsi" w:hAnsiTheme="minorHAnsi" w:cstheme="minorHAnsi"/>
        </w:rPr>
        <w:t>A</w:t>
      </w:r>
      <w:r w:rsidR="00763552" w:rsidRPr="00BC5423">
        <w:rPr>
          <w:rFonts w:asciiTheme="minorHAnsi" w:hAnsiTheme="minorHAnsi" w:cstheme="minorHAnsi"/>
          <w:lang w:val="x-none"/>
        </w:rPr>
        <w:t xml:space="preserve">nalizy, Wykonawca zobowiązuje się w terminie </w:t>
      </w:r>
      <w:r w:rsidR="00FF12F2" w:rsidRPr="00BC5423">
        <w:rPr>
          <w:rFonts w:asciiTheme="minorHAnsi" w:hAnsiTheme="minorHAnsi" w:cstheme="minorHAnsi"/>
        </w:rPr>
        <w:t>5</w:t>
      </w:r>
      <w:r w:rsidR="00FF12F2" w:rsidRPr="00BC5423">
        <w:rPr>
          <w:rFonts w:asciiTheme="minorHAnsi" w:hAnsiTheme="minorHAnsi" w:cstheme="minorHAnsi"/>
          <w:lang w:val="x-none"/>
        </w:rPr>
        <w:t xml:space="preserve"> </w:t>
      </w:r>
      <w:r w:rsidR="00763552" w:rsidRPr="00BC5423">
        <w:rPr>
          <w:rFonts w:asciiTheme="minorHAnsi" w:hAnsiTheme="minorHAnsi" w:cstheme="minorHAnsi"/>
          <w:lang w:val="x-none"/>
        </w:rPr>
        <w:t>dni roboczych od dnia zgłoszenia uwag (tj. od dnia wysłania maila z uwagami)</w:t>
      </w:r>
      <w:r w:rsidR="004B6939">
        <w:rPr>
          <w:rFonts w:asciiTheme="minorHAnsi" w:hAnsiTheme="minorHAnsi" w:cstheme="minorHAnsi"/>
        </w:rPr>
        <w:t xml:space="preserve"> </w:t>
      </w:r>
      <w:r w:rsidR="00763552" w:rsidRPr="00BC5423">
        <w:rPr>
          <w:rFonts w:asciiTheme="minorHAnsi" w:hAnsiTheme="minorHAnsi" w:cstheme="minorHAnsi"/>
          <w:lang w:val="x-none"/>
        </w:rPr>
        <w:t xml:space="preserve">do poprawienia </w:t>
      </w:r>
      <w:r w:rsidR="00975530" w:rsidRPr="00BC5423">
        <w:rPr>
          <w:rFonts w:asciiTheme="minorHAnsi" w:hAnsiTheme="minorHAnsi" w:cstheme="minorHAnsi"/>
        </w:rPr>
        <w:t>A</w:t>
      </w:r>
      <w:r w:rsidR="00763552" w:rsidRPr="00BC5423">
        <w:rPr>
          <w:rFonts w:asciiTheme="minorHAnsi" w:hAnsiTheme="minorHAnsi" w:cstheme="minorHAnsi"/>
          <w:lang w:val="x-none"/>
        </w:rPr>
        <w:t xml:space="preserve">nalizy i ponownego przesłania </w:t>
      </w:r>
      <w:r w:rsidR="00975530" w:rsidRPr="00BC5423">
        <w:rPr>
          <w:rFonts w:asciiTheme="minorHAnsi" w:hAnsiTheme="minorHAnsi" w:cstheme="minorHAnsi"/>
        </w:rPr>
        <w:t xml:space="preserve">jej wyników </w:t>
      </w:r>
      <w:r w:rsidR="00763552" w:rsidRPr="00BC5423">
        <w:rPr>
          <w:rFonts w:asciiTheme="minorHAnsi" w:hAnsiTheme="minorHAnsi" w:cstheme="minorHAnsi"/>
          <w:lang w:val="x-none"/>
        </w:rPr>
        <w:t xml:space="preserve">na adres mailowy: </w:t>
      </w:r>
      <w:hyperlink r:id="rId14" w:history="1"/>
      <w:hyperlink r:id="rId15" w:history="1">
        <w:r w:rsidR="00FF631D" w:rsidRPr="00BC5423">
          <w:rPr>
            <w:rStyle w:val="Hipercze"/>
            <w:rFonts w:asciiTheme="minorHAnsi" w:hAnsiTheme="minorHAnsi" w:cstheme="minorHAnsi"/>
          </w:rPr>
          <w:t>analizy</w:t>
        </w:r>
        <w:r w:rsidR="00FF631D" w:rsidRPr="00BC5423">
          <w:rPr>
            <w:rStyle w:val="Hipercze"/>
            <w:rFonts w:asciiTheme="minorHAnsi" w:hAnsiTheme="minorHAnsi" w:cstheme="minorHAnsi"/>
            <w:lang w:val="x-none"/>
          </w:rPr>
          <w:t>@cppc.gov.pl</w:t>
        </w:r>
      </w:hyperlink>
      <w:r w:rsidR="00763552" w:rsidRPr="00BC5423">
        <w:rPr>
          <w:rFonts w:asciiTheme="minorHAnsi" w:hAnsiTheme="minorHAnsi" w:cstheme="minorHAnsi"/>
          <w:lang w:val="x-none"/>
        </w:rPr>
        <w:t xml:space="preserve"> </w:t>
      </w:r>
    </w:p>
    <w:p w14:paraId="114678D2" w14:textId="292E93F0" w:rsidR="00763552" w:rsidRPr="00BC5423" w:rsidRDefault="00763552" w:rsidP="00BC5423">
      <w:pPr>
        <w:numPr>
          <w:ilvl w:val="1"/>
          <w:numId w:val="8"/>
        </w:numPr>
        <w:spacing w:line="360" w:lineRule="auto"/>
        <w:ind w:left="709" w:hanging="425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  <w:lang w:val="x-none"/>
        </w:rPr>
        <w:t xml:space="preserve"> W przypadku</w:t>
      </w:r>
      <w:r w:rsidR="009A6864" w:rsidRPr="00BC5423">
        <w:rPr>
          <w:rFonts w:asciiTheme="minorHAnsi" w:hAnsiTheme="minorHAnsi" w:cstheme="minorHAnsi"/>
        </w:rPr>
        <w:t>,</w:t>
      </w:r>
      <w:r w:rsidRPr="00BC5423">
        <w:rPr>
          <w:rFonts w:asciiTheme="minorHAnsi" w:hAnsiTheme="minorHAnsi" w:cstheme="minorHAnsi"/>
          <w:lang w:val="x-none"/>
        </w:rPr>
        <w:t xml:space="preserve"> gdy Zam</w:t>
      </w:r>
      <w:r w:rsidR="00B937A3" w:rsidRPr="00BC5423">
        <w:rPr>
          <w:rFonts w:asciiTheme="minorHAnsi" w:hAnsiTheme="minorHAnsi" w:cstheme="minorHAnsi"/>
          <w:lang w:val="x-none"/>
        </w:rPr>
        <w:t xml:space="preserve">awiający stwierdzi, że </w:t>
      </w:r>
      <w:r w:rsidR="00BC450C" w:rsidRPr="00BC5423">
        <w:rPr>
          <w:rFonts w:asciiTheme="minorHAnsi" w:hAnsiTheme="minorHAnsi" w:cstheme="minorHAnsi"/>
        </w:rPr>
        <w:t>A</w:t>
      </w:r>
      <w:r w:rsidRPr="00BC5423">
        <w:rPr>
          <w:rFonts w:asciiTheme="minorHAnsi" w:hAnsiTheme="minorHAnsi" w:cstheme="minorHAnsi"/>
          <w:lang w:val="x-none"/>
        </w:rPr>
        <w:t>naliz</w:t>
      </w:r>
      <w:r w:rsidR="009A6864" w:rsidRPr="00BC5423">
        <w:rPr>
          <w:rFonts w:asciiTheme="minorHAnsi" w:hAnsiTheme="minorHAnsi" w:cstheme="minorHAnsi"/>
        </w:rPr>
        <w:t>a</w:t>
      </w:r>
      <w:r w:rsidR="00B937A3" w:rsidRPr="00BC5423">
        <w:rPr>
          <w:rFonts w:asciiTheme="minorHAnsi" w:hAnsiTheme="minorHAnsi" w:cstheme="minorHAnsi"/>
        </w:rPr>
        <w:t>, której wyniki ponownie przekazano,</w:t>
      </w:r>
      <w:r w:rsidR="00B937A3" w:rsidRPr="00BC5423">
        <w:rPr>
          <w:rFonts w:asciiTheme="minorHAnsi" w:hAnsiTheme="minorHAnsi" w:cstheme="minorHAnsi"/>
          <w:lang w:val="x-none"/>
        </w:rPr>
        <w:t xml:space="preserve"> </w:t>
      </w:r>
      <w:r w:rsidRPr="00BC5423">
        <w:rPr>
          <w:rFonts w:asciiTheme="minorHAnsi" w:hAnsiTheme="minorHAnsi" w:cstheme="minorHAnsi"/>
          <w:lang w:val="x-none"/>
        </w:rPr>
        <w:t xml:space="preserve">nadal nie spełnia wymogów określonych w opisie przedmiotu zamówienia, jest uprawniony do </w:t>
      </w:r>
      <w:r w:rsidR="005524CE" w:rsidRPr="00BC5423">
        <w:rPr>
          <w:rFonts w:asciiTheme="minorHAnsi" w:hAnsiTheme="minorHAnsi" w:cstheme="minorHAnsi"/>
        </w:rPr>
        <w:t>rozwiązania</w:t>
      </w:r>
      <w:r w:rsidR="005524CE" w:rsidRPr="00BC5423">
        <w:rPr>
          <w:rFonts w:asciiTheme="minorHAnsi" w:hAnsiTheme="minorHAnsi" w:cstheme="minorHAnsi"/>
          <w:lang w:val="x-none"/>
        </w:rPr>
        <w:t xml:space="preserve"> </w:t>
      </w:r>
      <w:r w:rsidRPr="00BC5423">
        <w:rPr>
          <w:rFonts w:asciiTheme="minorHAnsi" w:hAnsiTheme="minorHAnsi" w:cstheme="minorHAnsi"/>
          <w:lang w:val="x-none"/>
        </w:rPr>
        <w:t xml:space="preserve">od </w:t>
      </w:r>
      <w:r w:rsidR="006C70FB" w:rsidRPr="00BC5423">
        <w:rPr>
          <w:rFonts w:asciiTheme="minorHAnsi" w:hAnsiTheme="minorHAnsi" w:cstheme="minorHAnsi"/>
        </w:rPr>
        <w:t>u</w:t>
      </w:r>
      <w:r w:rsidRPr="00BC5423">
        <w:rPr>
          <w:rFonts w:asciiTheme="minorHAnsi" w:hAnsiTheme="minorHAnsi" w:cstheme="minorHAnsi"/>
          <w:lang w:val="x-none"/>
        </w:rPr>
        <w:t>mowy</w:t>
      </w:r>
      <w:r w:rsidR="006C70FB" w:rsidRPr="00BC5423">
        <w:rPr>
          <w:rFonts w:asciiTheme="minorHAnsi" w:hAnsiTheme="minorHAnsi" w:cstheme="minorHAnsi"/>
        </w:rPr>
        <w:t xml:space="preserve"> łączącej Zamawiającego</w:t>
      </w:r>
      <w:r w:rsidR="003F2CF9" w:rsidRPr="00BC5423">
        <w:rPr>
          <w:rFonts w:asciiTheme="minorHAnsi" w:hAnsiTheme="minorHAnsi" w:cstheme="minorHAnsi"/>
        </w:rPr>
        <w:t xml:space="preserve"> </w:t>
      </w:r>
      <w:r w:rsidR="006C70FB" w:rsidRPr="00BC5423">
        <w:rPr>
          <w:rFonts w:asciiTheme="minorHAnsi" w:hAnsiTheme="minorHAnsi" w:cstheme="minorHAnsi"/>
        </w:rPr>
        <w:t>i Wykonawcę</w:t>
      </w:r>
      <w:r w:rsidRPr="00BC5423">
        <w:rPr>
          <w:rFonts w:asciiTheme="minorHAnsi" w:hAnsiTheme="minorHAnsi" w:cstheme="minorHAnsi"/>
          <w:lang w:val="x-none"/>
        </w:rPr>
        <w:t xml:space="preserve"> ze skutkiem natychmiastowym. </w:t>
      </w:r>
      <w:r w:rsidR="005524CE" w:rsidRPr="00BC5423">
        <w:rPr>
          <w:rFonts w:asciiTheme="minorHAnsi" w:hAnsiTheme="minorHAnsi" w:cstheme="minorHAnsi"/>
        </w:rPr>
        <w:t>Rozwiązanie</w:t>
      </w:r>
      <w:r w:rsidRPr="00BC5423">
        <w:rPr>
          <w:rFonts w:asciiTheme="minorHAnsi" w:hAnsiTheme="minorHAnsi" w:cstheme="minorHAnsi"/>
          <w:lang w:val="x-none"/>
        </w:rPr>
        <w:t xml:space="preserve"> </w:t>
      </w:r>
      <w:r w:rsidR="006C70FB" w:rsidRPr="00BC5423">
        <w:rPr>
          <w:rFonts w:asciiTheme="minorHAnsi" w:hAnsiTheme="minorHAnsi" w:cstheme="minorHAnsi"/>
        </w:rPr>
        <w:t>ww. u</w:t>
      </w:r>
      <w:r w:rsidR="006C70FB" w:rsidRPr="00BC5423">
        <w:rPr>
          <w:rFonts w:asciiTheme="minorHAnsi" w:hAnsiTheme="minorHAnsi" w:cstheme="minorHAnsi"/>
          <w:lang w:val="x-none"/>
        </w:rPr>
        <w:t xml:space="preserve">mowy </w:t>
      </w:r>
      <w:r w:rsidR="006C70FB" w:rsidRPr="00BC5423">
        <w:rPr>
          <w:rFonts w:asciiTheme="minorHAnsi" w:hAnsiTheme="minorHAnsi" w:cstheme="minorHAnsi"/>
        </w:rPr>
        <w:t xml:space="preserve">dokonuje się w </w:t>
      </w:r>
      <w:r w:rsidRPr="00BC5423">
        <w:rPr>
          <w:rFonts w:asciiTheme="minorHAnsi" w:hAnsiTheme="minorHAnsi" w:cstheme="minorHAnsi"/>
          <w:lang w:val="x-none"/>
        </w:rPr>
        <w:t>formie pisemnej pod rygorem nieważności.</w:t>
      </w:r>
    </w:p>
    <w:p w14:paraId="5795D765" w14:textId="77777777" w:rsidR="00763552" w:rsidRPr="00BC5423" w:rsidRDefault="00763552" w:rsidP="00BC5423">
      <w:pPr>
        <w:numPr>
          <w:ilvl w:val="1"/>
          <w:numId w:val="8"/>
        </w:numPr>
        <w:spacing w:line="360" w:lineRule="auto"/>
        <w:ind w:left="709" w:hanging="425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</w:rPr>
        <w:lastRenderedPageBreak/>
        <w:t xml:space="preserve"> </w:t>
      </w:r>
      <w:r w:rsidRPr="00BC5423">
        <w:rPr>
          <w:rFonts w:asciiTheme="minorHAnsi" w:hAnsiTheme="minorHAnsi" w:cstheme="minorHAnsi"/>
          <w:lang w:val="x-none"/>
        </w:rPr>
        <w:t xml:space="preserve">W </w:t>
      </w:r>
      <w:r w:rsidR="00B937A3" w:rsidRPr="00BC5423">
        <w:rPr>
          <w:rFonts w:asciiTheme="minorHAnsi" w:hAnsiTheme="minorHAnsi" w:cstheme="minorHAnsi"/>
          <w:lang w:val="x-none"/>
        </w:rPr>
        <w:t xml:space="preserve">przypadku braku uwag do </w:t>
      </w:r>
      <w:r w:rsidR="00B937A3" w:rsidRPr="00BC5423">
        <w:rPr>
          <w:rFonts w:asciiTheme="minorHAnsi" w:hAnsiTheme="minorHAnsi" w:cstheme="minorHAnsi"/>
        </w:rPr>
        <w:t>przesłanych wyników Analizy</w:t>
      </w:r>
      <w:r w:rsidRPr="00BC5423">
        <w:rPr>
          <w:rFonts w:asciiTheme="minorHAnsi" w:hAnsiTheme="minorHAnsi" w:cstheme="minorHAnsi"/>
          <w:lang w:val="x-none"/>
        </w:rPr>
        <w:t xml:space="preserve">, Wykonawca jest zobowiązany do </w:t>
      </w:r>
      <w:r w:rsidR="009F33C5" w:rsidRPr="00BC5423">
        <w:rPr>
          <w:rFonts w:asciiTheme="minorHAnsi" w:hAnsiTheme="minorHAnsi" w:cstheme="minorHAnsi"/>
        </w:rPr>
        <w:t>ponownego ich przesłania na powyższy adres mailowy w w</w:t>
      </w:r>
      <w:r w:rsidR="00A7709E" w:rsidRPr="00BC5423">
        <w:rPr>
          <w:rFonts w:asciiTheme="minorHAnsi" w:hAnsiTheme="minorHAnsi" w:cstheme="minorHAnsi"/>
        </w:rPr>
        <w:t xml:space="preserve">ersji </w:t>
      </w:r>
      <w:r w:rsidR="00AF3119" w:rsidRPr="00BC5423">
        <w:rPr>
          <w:rFonts w:asciiTheme="minorHAnsi" w:hAnsiTheme="minorHAnsi" w:cstheme="minorHAnsi"/>
        </w:rPr>
        <w:t>podpisanej</w:t>
      </w:r>
      <w:r w:rsidR="00A7709E" w:rsidRPr="00BC5423">
        <w:rPr>
          <w:rFonts w:asciiTheme="minorHAnsi" w:hAnsiTheme="minorHAnsi" w:cstheme="minorHAnsi"/>
        </w:rPr>
        <w:t xml:space="preserve"> podpisem</w:t>
      </w:r>
      <w:r w:rsidR="009F33C5" w:rsidRPr="00BC5423">
        <w:rPr>
          <w:rFonts w:asciiTheme="minorHAnsi" w:hAnsiTheme="minorHAnsi" w:cstheme="minorHAnsi"/>
        </w:rPr>
        <w:t xml:space="preserve"> kwalifikowanym</w:t>
      </w:r>
      <w:r w:rsidR="00FD0DFE" w:rsidRPr="00BC5423">
        <w:rPr>
          <w:rFonts w:asciiTheme="minorHAnsi" w:hAnsiTheme="minorHAnsi" w:cstheme="minorHAnsi"/>
        </w:rPr>
        <w:t xml:space="preserve"> wraz z </w:t>
      </w:r>
      <w:r w:rsidRPr="00BC5423">
        <w:rPr>
          <w:rFonts w:asciiTheme="minorHAnsi" w:hAnsiTheme="minorHAnsi" w:cstheme="minorHAnsi"/>
          <w:lang w:val="x-none"/>
        </w:rPr>
        <w:t>protokołem odbioru</w:t>
      </w:r>
      <w:r w:rsidR="00FD0DFE" w:rsidRPr="00BC5423">
        <w:rPr>
          <w:rFonts w:asciiTheme="minorHAnsi" w:hAnsiTheme="minorHAnsi" w:cstheme="minorHAnsi"/>
        </w:rPr>
        <w:t>.</w:t>
      </w:r>
    </w:p>
    <w:p w14:paraId="2A7525FE" w14:textId="050AA14C" w:rsidR="00763552" w:rsidRPr="00BC5423" w:rsidRDefault="00763552" w:rsidP="00BC5423">
      <w:pPr>
        <w:numPr>
          <w:ilvl w:val="1"/>
          <w:numId w:val="8"/>
        </w:numPr>
        <w:spacing w:line="360" w:lineRule="auto"/>
        <w:ind w:left="709" w:hanging="425"/>
        <w:rPr>
          <w:rFonts w:asciiTheme="minorHAnsi" w:hAnsiTheme="minorHAnsi" w:cstheme="minorHAnsi"/>
          <w:lang w:val="x-none"/>
        </w:rPr>
      </w:pPr>
      <w:r w:rsidRPr="00BC5423">
        <w:rPr>
          <w:rFonts w:asciiTheme="minorHAnsi" w:hAnsiTheme="minorHAnsi" w:cstheme="minorHAnsi"/>
          <w:lang w:val="x-none"/>
        </w:rPr>
        <w:t xml:space="preserve">Zamawiający </w:t>
      </w:r>
      <w:r w:rsidR="00B937A3" w:rsidRPr="00BC5423">
        <w:rPr>
          <w:rFonts w:asciiTheme="minorHAnsi" w:hAnsiTheme="minorHAnsi" w:cstheme="minorHAnsi"/>
        </w:rPr>
        <w:t xml:space="preserve">dokonuje </w:t>
      </w:r>
      <w:r w:rsidRPr="00BC5423">
        <w:rPr>
          <w:rFonts w:asciiTheme="minorHAnsi" w:hAnsiTheme="minorHAnsi" w:cstheme="minorHAnsi"/>
          <w:lang w:val="x-none"/>
        </w:rPr>
        <w:t>odbi</w:t>
      </w:r>
      <w:r w:rsidR="00B937A3" w:rsidRPr="00BC5423">
        <w:rPr>
          <w:rFonts w:asciiTheme="minorHAnsi" w:hAnsiTheme="minorHAnsi" w:cstheme="minorHAnsi"/>
        </w:rPr>
        <w:t>oru</w:t>
      </w:r>
      <w:r w:rsidRPr="00BC5423">
        <w:rPr>
          <w:rFonts w:asciiTheme="minorHAnsi" w:hAnsiTheme="minorHAnsi" w:cstheme="minorHAnsi"/>
          <w:lang w:val="x-none"/>
        </w:rPr>
        <w:t xml:space="preserve"> </w:t>
      </w:r>
      <w:r w:rsidR="006C70FB" w:rsidRPr="00BC5423">
        <w:rPr>
          <w:rFonts w:asciiTheme="minorHAnsi" w:hAnsiTheme="minorHAnsi" w:cstheme="minorHAnsi"/>
        </w:rPr>
        <w:t>Analiz</w:t>
      </w:r>
      <w:r w:rsidR="00B937A3" w:rsidRPr="00BC5423">
        <w:rPr>
          <w:rFonts w:asciiTheme="minorHAnsi" w:hAnsiTheme="minorHAnsi" w:cstheme="minorHAnsi"/>
        </w:rPr>
        <w:t>y</w:t>
      </w:r>
      <w:r w:rsidRPr="00BC5423">
        <w:rPr>
          <w:rFonts w:asciiTheme="minorHAnsi" w:hAnsiTheme="minorHAnsi" w:cstheme="minorHAnsi"/>
          <w:lang w:val="x-none"/>
        </w:rPr>
        <w:t xml:space="preserve"> poprzez podpisanie </w:t>
      </w:r>
      <w:r w:rsidR="003F2CF9" w:rsidRPr="00BC5423">
        <w:rPr>
          <w:rFonts w:asciiTheme="minorHAnsi" w:hAnsiTheme="minorHAnsi" w:cstheme="minorHAnsi"/>
          <w:lang w:val="x-none"/>
        </w:rPr>
        <w:t>protokołu</w:t>
      </w:r>
      <w:r w:rsidR="006C70FB" w:rsidRPr="00BC5423">
        <w:rPr>
          <w:rFonts w:asciiTheme="minorHAnsi" w:hAnsiTheme="minorHAnsi" w:cstheme="minorHAnsi"/>
          <w:lang w:val="x-none"/>
        </w:rPr>
        <w:t xml:space="preserve"> </w:t>
      </w:r>
      <w:r w:rsidR="00AF3119" w:rsidRPr="00BC5423">
        <w:rPr>
          <w:rFonts w:asciiTheme="minorHAnsi" w:hAnsiTheme="minorHAnsi" w:cstheme="minorHAnsi"/>
          <w:lang w:val="x-none"/>
        </w:rPr>
        <w:t>odbioru</w:t>
      </w:r>
      <w:r w:rsidR="00AF3119" w:rsidRPr="00BC5423">
        <w:rPr>
          <w:rFonts w:asciiTheme="minorHAnsi" w:hAnsiTheme="minorHAnsi" w:cstheme="minorHAnsi"/>
          <w:lang w:val="x-none"/>
        </w:rPr>
        <w:br/>
      </w:r>
      <w:r w:rsidRPr="00BC5423">
        <w:rPr>
          <w:rFonts w:asciiTheme="minorHAnsi" w:hAnsiTheme="minorHAnsi" w:cstheme="minorHAnsi"/>
          <w:lang w:val="x-none"/>
        </w:rPr>
        <w:t xml:space="preserve">w terminie </w:t>
      </w:r>
      <w:r w:rsidR="00CB15C2" w:rsidRPr="00BC5423">
        <w:rPr>
          <w:rFonts w:asciiTheme="minorHAnsi" w:hAnsiTheme="minorHAnsi" w:cstheme="minorHAnsi"/>
        </w:rPr>
        <w:t xml:space="preserve">do </w:t>
      </w:r>
      <w:r w:rsidRPr="00BC5423">
        <w:rPr>
          <w:rFonts w:asciiTheme="minorHAnsi" w:hAnsiTheme="minorHAnsi" w:cstheme="minorHAnsi"/>
          <w:lang w:val="x-none"/>
        </w:rPr>
        <w:t xml:space="preserve">30 dni od dnia </w:t>
      </w:r>
      <w:r w:rsidR="00FD0DFE" w:rsidRPr="00BC5423">
        <w:rPr>
          <w:rFonts w:asciiTheme="minorHAnsi" w:hAnsiTheme="minorHAnsi" w:cstheme="minorHAnsi"/>
        </w:rPr>
        <w:t xml:space="preserve">dostarczenia </w:t>
      </w:r>
      <w:r w:rsidR="00A6216A" w:rsidRPr="00BC5423">
        <w:rPr>
          <w:rFonts w:asciiTheme="minorHAnsi" w:hAnsiTheme="minorHAnsi" w:cstheme="minorHAnsi"/>
        </w:rPr>
        <w:t>drogą elektroniczną</w:t>
      </w:r>
      <w:r w:rsidRPr="00BC5423">
        <w:rPr>
          <w:rFonts w:asciiTheme="minorHAnsi" w:hAnsiTheme="minorHAnsi" w:cstheme="minorHAnsi"/>
          <w:lang w:val="x-none"/>
        </w:rPr>
        <w:t xml:space="preserve"> o</w:t>
      </w:r>
      <w:r w:rsidR="00BC450C" w:rsidRPr="00BC5423">
        <w:rPr>
          <w:rFonts w:asciiTheme="minorHAnsi" w:hAnsiTheme="minorHAnsi" w:cstheme="minorHAnsi"/>
          <w:lang w:val="x-none"/>
        </w:rPr>
        <w:t xml:space="preserve">statecznych wyników </w:t>
      </w:r>
      <w:r w:rsidR="00BC450C" w:rsidRPr="00BC5423">
        <w:rPr>
          <w:rFonts w:asciiTheme="minorHAnsi" w:hAnsiTheme="minorHAnsi" w:cstheme="minorHAnsi"/>
        </w:rPr>
        <w:t>A</w:t>
      </w:r>
      <w:r w:rsidRPr="00BC5423">
        <w:rPr>
          <w:rFonts w:asciiTheme="minorHAnsi" w:hAnsiTheme="minorHAnsi" w:cstheme="minorHAnsi"/>
          <w:lang w:val="x-none"/>
        </w:rPr>
        <w:t>nalizy</w:t>
      </w:r>
      <w:r w:rsidR="00A7709E" w:rsidRPr="00BC5423">
        <w:rPr>
          <w:rFonts w:asciiTheme="minorHAnsi" w:hAnsiTheme="minorHAnsi" w:cstheme="minorHAnsi"/>
        </w:rPr>
        <w:t xml:space="preserve">, </w:t>
      </w:r>
      <w:r w:rsidR="00AF3119" w:rsidRPr="00BC5423">
        <w:rPr>
          <w:rFonts w:asciiTheme="minorHAnsi" w:hAnsiTheme="minorHAnsi" w:cstheme="minorHAnsi"/>
        </w:rPr>
        <w:t>podpisanych</w:t>
      </w:r>
      <w:r w:rsidR="00A7709E" w:rsidRPr="00BC5423">
        <w:rPr>
          <w:rFonts w:asciiTheme="minorHAnsi" w:hAnsiTheme="minorHAnsi" w:cstheme="minorHAnsi"/>
        </w:rPr>
        <w:t xml:space="preserve"> podpisem</w:t>
      </w:r>
      <w:r w:rsidR="00A6216A" w:rsidRPr="00BC5423">
        <w:rPr>
          <w:rFonts w:asciiTheme="minorHAnsi" w:hAnsiTheme="minorHAnsi" w:cstheme="minorHAnsi"/>
        </w:rPr>
        <w:t xml:space="preserve"> kwalifikowanym</w:t>
      </w:r>
      <w:r w:rsidRPr="00BC5423">
        <w:rPr>
          <w:rFonts w:asciiTheme="minorHAnsi" w:hAnsiTheme="minorHAnsi" w:cstheme="minorHAnsi"/>
          <w:lang w:val="x-none"/>
        </w:rPr>
        <w:t>.</w:t>
      </w:r>
    </w:p>
    <w:p w14:paraId="6B3F551E" w14:textId="77777777" w:rsidR="00763552" w:rsidRPr="00BC5423" w:rsidRDefault="00763552" w:rsidP="00BC5423">
      <w:pPr>
        <w:spacing w:line="360" w:lineRule="auto"/>
        <w:rPr>
          <w:rFonts w:asciiTheme="minorHAnsi" w:hAnsiTheme="minorHAnsi" w:cstheme="minorHAnsi"/>
        </w:rPr>
      </w:pPr>
    </w:p>
    <w:p w14:paraId="77B1438D" w14:textId="77777777" w:rsidR="00763552" w:rsidRPr="00BC5423" w:rsidRDefault="00763552" w:rsidP="00BC5423">
      <w:pPr>
        <w:spacing w:after="240" w:line="360" w:lineRule="auto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>W przypadku naruszenia zasad</w:t>
      </w:r>
      <w:r w:rsidR="006C70FB" w:rsidRPr="00BC5423">
        <w:rPr>
          <w:rFonts w:asciiTheme="minorHAnsi" w:hAnsiTheme="minorHAnsi" w:cstheme="minorHAnsi"/>
        </w:rPr>
        <w:t xml:space="preserve"> ujętych w Deklaracji</w:t>
      </w:r>
      <w:r w:rsidRPr="00BC5423">
        <w:rPr>
          <w:rFonts w:asciiTheme="minorHAnsi" w:hAnsiTheme="minorHAnsi" w:cstheme="minorHAnsi"/>
        </w:rPr>
        <w:t xml:space="preserve"> bezstronności i poufności podczas </w:t>
      </w:r>
      <w:r w:rsidR="006C70FB" w:rsidRPr="00BC5423">
        <w:rPr>
          <w:rFonts w:asciiTheme="minorHAnsi" w:hAnsiTheme="minorHAnsi" w:cstheme="minorHAnsi"/>
        </w:rPr>
        <w:t>wykonywania Analizy</w:t>
      </w:r>
      <w:r w:rsidRPr="00BC5423">
        <w:rPr>
          <w:rFonts w:asciiTheme="minorHAnsi" w:hAnsiTheme="minorHAnsi" w:cstheme="minorHAnsi"/>
        </w:rPr>
        <w:t xml:space="preserve">, a także w przypadku złożenia fałszywego oświadczenia co do braku wystąpienia przesłanek wyłączenia zgodnie z podpisaną </w:t>
      </w:r>
      <w:r w:rsidR="00BC450C" w:rsidRPr="00BC5423">
        <w:rPr>
          <w:rFonts w:asciiTheme="minorHAnsi" w:hAnsiTheme="minorHAnsi" w:cstheme="minorHAnsi"/>
        </w:rPr>
        <w:t xml:space="preserve">ww. </w:t>
      </w:r>
      <w:r w:rsidRPr="00BC5423">
        <w:rPr>
          <w:rFonts w:asciiTheme="minorHAnsi" w:hAnsiTheme="minorHAnsi" w:cstheme="minorHAnsi"/>
        </w:rPr>
        <w:t xml:space="preserve">deklaracją, Wykonawcy nie przysługuje wynagrodzenie za przeprowadzoną </w:t>
      </w:r>
      <w:r w:rsidR="006C70FB" w:rsidRPr="00BC5423">
        <w:rPr>
          <w:rFonts w:asciiTheme="minorHAnsi" w:hAnsiTheme="minorHAnsi" w:cstheme="minorHAnsi"/>
        </w:rPr>
        <w:t>Analizę</w:t>
      </w:r>
      <w:r w:rsidRPr="00BC5423">
        <w:rPr>
          <w:rFonts w:asciiTheme="minorHAnsi" w:hAnsiTheme="minorHAnsi" w:cstheme="minorHAnsi"/>
        </w:rPr>
        <w:t>. W takiej sytuacji Wykonawca zapłaci na rzecz Zamawiającego karę umowną w wysokości określonej w umowie.</w:t>
      </w:r>
    </w:p>
    <w:p w14:paraId="6679688A" w14:textId="77777777" w:rsidR="00763552" w:rsidRPr="00BC5423" w:rsidRDefault="00BC450C" w:rsidP="00BC5423">
      <w:pPr>
        <w:pStyle w:val="Akapitzlist"/>
        <w:numPr>
          <w:ilvl w:val="0"/>
          <w:numId w:val="1"/>
        </w:numPr>
        <w:spacing w:line="360" w:lineRule="auto"/>
        <w:ind w:left="493" w:hanging="425"/>
        <w:rPr>
          <w:rFonts w:asciiTheme="minorHAnsi" w:hAnsiTheme="minorHAnsi" w:cstheme="minorHAnsi"/>
          <w:b/>
        </w:rPr>
      </w:pPr>
      <w:r w:rsidRPr="00BC5423">
        <w:rPr>
          <w:rFonts w:asciiTheme="minorHAnsi" w:hAnsiTheme="minorHAnsi" w:cstheme="minorHAnsi"/>
          <w:b/>
        </w:rPr>
        <w:t xml:space="preserve"> </w:t>
      </w:r>
      <w:r w:rsidR="00763552" w:rsidRPr="00BC5423">
        <w:rPr>
          <w:rFonts w:asciiTheme="minorHAnsi" w:hAnsiTheme="minorHAnsi" w:cstheme="minorHAnsi"/>
          <w:b/>
        </w:rPr>
        <w:t xml:space="preserve">OKRES REALIZACJI ZAMÓWIENIA </w:t>
      </w:r>
    </w:p>
    <w:p w14:paraId="5AAC5AC3" w14:textId="5F531F2A" w:rsidR="00763552" w:rsidRPr="00BC5423" w:rsidRDefault="00763552" w:rsidP="00BC5423">
      <w:pPr>
        <w:spacing w:line="360" w:lineRule="auto"/>
        <w:rPr>
          <w:rFonts w:asciiTheme="minorHAnsi" w:hAnsiTheme="minorHAnsi" w:cstheme="minorHAnsi"/>
        </w:rPr>
      </w:pPr>
      <w:r w:rsidRPr="00BC5423">
        <w:rPr>
          <w:rFonts w:asciiTheme="minorHAnsi" w:hAnsiTheme="minorHAnsi" w:cstheme="minorHAnsi"/>
        </w:rPr>
        <w:t xml:space="preserve">Realizacja zamówienia przewidziana jest </w:t>
      </w:r>
      <w:r w:rsidR="00EE21DF">
        <w:rPr>
          <w:rFonts w:asciiTheme="minorHAnsi" w:hAnsiTheme="minorHAnsi" w:cstheme="minorHAnsi"/>
        </w:rPr>
        <w:t xml:space="preserve">na okres </w:t>
      </w:r>
      <w:r w:rsidR="00DD2CC0">
        <w:rPr>
          <w:rFonts w:asciiTheme="minorHAnsi" w:hAnsiTheme="minorHAnsi" w:cstheme="minorHAnsi"/>
        </w:rPr>
        <w:t>24</w:t>
      </w:r>
      <w:r w:rsidR="00EE21DF">
        <w:rPr>
          <w:rFonts w:asciiTheme="minorHAnsi" w:hAnsiTheme="minorHAnsi" w:cstheme="minorHAnsi"/>
        </w:rPr>
        <w:t xml:space="preserve"> miesięcy </w:t>
      </w:r>
      <w:r w:rsidR="00B937A3" w:rsidRPr="00BC5423">
        <w:rPr>
          <w:rFonts w:asciiTheme="minorHAnsi" w:hAnsiTheme="minorHAnsi" w:cstheme="minorHAnsi"/>
        </w:rPr>
        <w:t xml:space="preserve">od dnia </w:t>
      </w:r>
      <w:r w:rsidR="005524CE" w:rsidRPr="00BC5423">
        <w:rPr>
          <w:rFonts w:asciiTheme="minorHAnsi" w:hAnsiTheme="minorHAnsi" w:cstheme="minorHAnsi"/>
        </w:rPr>
        <w:t xml:space="preserve">zawarcia </w:t>
      </w:r>
      <w:r w:rsidR="00B937A3" w:rsidRPr="00BC5423">
        <w:rPr>
          <w:rFonts w:asciiTheme="minorHAnsi" w:hAnsiTheme="minorHAnsi" w:cstheme="minorHAnsi"/>
        </w:rPr>
        <w:t>umowy</w:t>
      </w:r>
      <w:r w:rsidR="00757A87" w:rsidRPr="00BC5423">
        <w:rPr>
          <w:rFonts w:asciiTheme="minorHAnsi" w:hAnsiTheme="minorHAnsi" w:cstheme="minorHAnsi"/>
        </w:rPr>
        <w:t xml:space="preserve"> </w:t>
      </w:r>
      <w:r w:rsidR="00124BCB" w:rsidRPr="00BC5423">
        <w:rPr>
          <w:rFonts w:asciiTheme="minorHAnsi" w:hAnsiTheme="minorHAnsi" w:cstheme="minorHAnsi"/>
        </w:rPr>
        <w:t>z Wykonawcą</w:t>
      </w:r>
      <w:r w:rsidR="005377E3">
        <w:rPr>
          <w:rFonts w:asciiTheme="minorHAnsi" w:hAnsiTheme="minorHAnsi" w:cstheme="minorHAnsi"/>
        </w:rPr>
        <w:t xml:space="preserve"> </w:t>
      </w:r>
      <w:r w:rsidR="00387C0F" w:rsidRPr="00BC5423">
        <w:rPr>
          <w:rFonts w:asciiTheme="minorHAnsi" w:hAnsiTheme="minorHAnsi" w:cstheme="minorHAnsi"/>
        </w:rPr>
        <w:t>lub do momentu wyczerpania kwoty wynagrodzenia, o której mowa w § 5 ust. 1 Umowy, w zależności, które ze zdarzeń nastąpi wcześniej.</w:t>
      </w:r>
    </w:p>
    <w:p w14:paraId="2122C282" w14:textId="77777777" w:rsidR="00763552" w:rsidRPr="00BC5423" w:rsidRDefault="00763552" w:rsidP="00BC5423">
      <w:pPr>
        <w:spacing w:line="360" w:lineRule="auto"/>
        <w:rPr>
          <w:rFonts w:asciiTheme="minorHAnsi" w:hAnsiTheme="minorHAnsi" w:cstheme="minorHAnsi"/>
        </w:rPr>
      </w:pPr>
    </w:p>
    <w:p w14:paraId="0947ED1F" w14:textId="77777777" w:rsidR="00064EEC" w:rsidRPr="00BC5423" w:rsidRDefault="00064EEC" w:rsidP="00BC5423">
      <w:pPr>
        <w:spacing w:line="360" w:lineRule="auto"/>
        <w:rPr>
          <w:rFonts w:asciiTheme="minorHAnsi" w:hAnsiTheme="minorHAnsi" w:cstheme="minorHAnsi"/>
        </w:rPr>
      </w:pPr>
    </w:p>
    <w:sectPr w:rsidR="00064EEC" w:rsidRPr="00BC5423" w:rsidSect="00FC2241">
      <w:headerReference w:type="default" r:id="rId16"/>
      <w:footerReference w:type="default" r:id="rId1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ECC5" w14:textId="77777777" w:rsidR="00FC2241" w:rsidRDefault="00FC2241">
      <w:r>
        <w:separator/>
      </w:r>
    </w:p>
  </w:endnote>
  <w:endnote w:type="continuationSeparator" w:id="0">
    <w:p w14:paraId="658A77EF" w14:textId="77777777" w:rsidR="00FC2241" w:rsidRDefault="00FC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329715"/>
      <w:docPartObj>
        <w:docPartGallery w:val="Page Numbers (Bottom of Page)"/>
        <w:docPartUnique/>
      </w:docPartObj>
    </w:sdtPr>
    <w:sdtEndPr/>
    <w:sdtContent>
      <w:p w14:paraId="1764DC69" w14:textId="77C1BE28" w:rsidR="00064EEC" w:rsidRDefault="007635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7C2">
          <w:rPr>
            <w:noProof/>
          </w:rPr>
          <w:t>1</w:t>
        </w:r>
        <w:r>
          <w:fldChar w:fldCharType="end"/>
        </w:r>
      </w:p>
    </w:sdtContent>
  </w:sdt>
  <w:p w14:paraId="136861EB" w14:textId="77777777" w:rsidR="00064EEC" w:rsidRDefault="00064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C908" w14:textId="77777777" w:rsidR="00FC2241" w:rsidRDefault="00FC2241">
      <w:r>
        <w:separator/>
      </w:r>
    </w:p>
  </w:footnote>
  <w:footnote w:type="continuationSeparator" w:id="0">
    <w:p w14:paraId="16BB895F" w14:textId="77777777" w:rsidR="00FC2241" w:rsidRDefault="00FC2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9F7D" w14:textId="4A5ECD0D" w:rsidR="00064EEC" w:rsidRDefault="009B63B8" w:rsidP="009B63B8">
    <w:pPr>
      <w:pStyle w:val="Nagwek"/>
      <w:ind w:firstLine="8"/>
      <w:rPr>
        <w:b/>
      </w:rPr>
    </w:pPr>
    <w:r>
      <w:rPr>
        <w:noProof/>
      </w:rPr>
      <w:drawing>
        <wp:inline distT="0" distB="0" distL="0" distR="0" wp14:anchorId="4BD553A0" wp14:editId="51F60681">
          <wp:extent cx="5432677" cy="431165"/>
          <wp:effectExtent l="0" t="0" r="0" b="6985"/>
          <wp:docPr id="3845479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5479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2677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1E2BBD" w14:textId="77777777" w:rsidR="00064EEC" w:rsidRDefault="00064EEC" w:rsidP="00BB73CC">
    <w:pPr>
      <w:pStyle w:val="Nagwek"/>
      <w:ind w:left="2544"/>
      <w:rPr>
        <w:b/>
      </w:rPr>
    </w:pPr>
  </w:p>
  <w:p w14:paraId="6680EDBD" w14:textId="77777777" w:rsidR="00064EEC" w:rsidRDefault="00064EEC" w:rsidP="00BB73CC">
    <w:pPr>
      <w:pStyle w:val="Nagwek"/>
      <w:ind w:left="254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883"/>
    <w:multiLevelType w:val="multilevel"/>
    <w:tmpl w:val="CF408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E05E12"/>
    <w:multiLevelType w:val="hybridMultilevel"/>
    <w:tmpl w:val="C7BCE9D8"/>
    <w:lvl w:ilvl="0" w:tplc="8FEE04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</w:rPr>
    </w:lvl>
    <w:lvl w:ilvl="1" w:tplc="CAB2A5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3CE3"/>
    <w:multiLevelType w:val="hybridMultilevel"/>
    <w:tmpl w:val="E7D6A488"/>
    <w:lvl w:ilvl="0" w:tplc="44F4C820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55AA"/>
    <w:multiLevelType w:val="hybridMultilevel"/>
    <w:tmpl w:val="3F261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175BD"/>
    <w:multiLevelType w:val="multilevel"/>
    <w:tmpl w:val="CF408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38A479A"/>
    <w:multiLevelType w:val="hybridMultilevel"/>
    <w:tmpl w:val="00C00D1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032A26"/>
    <w:multiLevelType w:val="hybridMultilevel"/>
    <w:tmpl w:val="8E98EADC"/>
    <w:lvl w:ilvl="0" w:tplc="81C4B9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CAB0F35"/>
    <w:multiLevelType w:val="hybridMultilevel"/>
    <w:tmpl w:val="107E390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B87AB3"/>
    <w:multiLevelType w:val="multilevel"/>
    <w:tmpl w:val="FDB8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094E4A"/>
    <w:multiLevelType w:val="hybridMultilevel"/>
    <w:tmpl w:val="29749276"/>
    <w:lvl w:ilvl="0" w:tplc="9F9A3D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9320935">
    <w:abstractNumId w:val="1"/>
  </w:num>
  <w:num w:numId="2" w16cid:durableId="308822138">
    <w:abstractNumId w:val="5"/>
  </w:num>
  <w:num w:numId="3" w16cid:durableId="2631845">
    <w:abstractNumId w:val="0"/>
  </w:num>
  <w:num w:numId="4" w16cid:durableId="349569755">
    <w:abstractNumId w:val="6"/>
  </w:num>
  <w:num w:numId="5" w16cid:durableId="2122412316">
    <w:abstractNumId w:val="2"/>
  </w:num>
  <w:num w:numId="6" w16cid:durableId="459154248">
    <w:abstractNumId w:val="7"/>
  </w:num>
  <w:num w:numId="7" w16cid:durableId="240725406">
    <w:abstractNumId w:val="3"/>
  </w:num>
  <w:num w:numId="8" w16cid:durableId="223369130">
    <w:abstractNumId w:val="4"/>
  </w:num>
  <w:num w:numId="9" w16cid:durableId="874732391">
    <w:abstractNumId w:val="8"/>
  </w:num>
  <w:num w:numId="10" w16cid:durableId="879362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DD"/>
    <w:rsid w:val="0002057A"/>
    <w:rsid w:val="00064EEC"/>
    <w:rsid w:val="00081211"/>
    <w:rsid w:val="00086F20"/>
    <w:rsid w:val="000A72F1"/>
    <w:rsid w:val="000E02C4"/>
    <w:rsid w:val="000F2C7E"/>
    <w:rsid w:val="00110191"/>
    <w:rsid w:val="00112AD2"/>
    <w:rsid w:val="00124BCB"/>
    <w:rsid w:val="00156AC5"/>
    <w:rsid w:val="00165D2A"/>
    <w:rsid w:val="00167CF7"/>
    <w:rsid w:val="001B1E1E"/>
    <w:rsid w:val="001D3A50"/>
    <w:rsid w:val="001D6497"/>
    <w:rsid w:val="001E58A5"/>
    <w:rsid w:val="001F6114"/>
    <w:rsid w:val="001F7E5F"/>
    <w:rsid w:val="00274A7E"/>
    <w:rsid w:val="002B5B72"/>
    <w:rsid w:val="002C0787"/>
    <w:rsid w:val="002D2A2F"/>
    <w:rsid w:val="00307A7A"/>
    <w:rsid w:val="00321323"/>
    <w:rsid w:val="00324F63"/>
    <w:rsid w:val="00344BCD"/>
    <w:rsid w:val="00384928"/>
    <w:rsid w:val="00385E46"/>
    <w:rsid w:val="00387C0F"/>
    <w:rsid w:val="00390BA1"/>
    <w:rsid w:val="00394F84"/>
    <w:rsid w:val="003E2836"/>
    <w:rsid w:val="003E6B6C"/>
    <w:rsid w:val="003F2CF9"/>
    <w:rsid w:val="004254BA"/>
    <w:rsid w:val="00490EEC"/>
    <w:rsid w:val="00493878"/>
    <w:rsid w:val="00493A4B"/>
    <w:rsid w:val="004B6939"/>
    <w:rsid w:val="005020E1"/>
    <w:rsid w:val="005036A2"/>
    <w:rsid w:val="00531D6F"/>
    <w:rsid w:val="005377E3"/>
    <w:rsid w:val="0054070C"/>
    <w:rsid w:val="005524CE"/>
    <w:rsid w:val="005541AF"/>
    <w:rsid w:val="00595D74"/>
    <w:rsid w:val="005D0C19"/>
    <w:rsid w:val="005D7A7F"/>
    <w:rsid w:val="005E169A"/>
    <w:rsid w:val="005F6BD5"/>
    <w:rsid w:val="00607257"/>
    <w:rsid w:val="0061098E"/>
    <w:rsid w:val="00612599"/>
    <w:rsid w:val="006A3A89"/>
    <w:rsid w:val="006C025D"/>
    <w:rsid w:val="006C70FB"/>
    <w:rsid w:val="006D3997"/>
    <w:rsid w:val="006E771C"/>
    <w:rsid w:val="00720819"/>
    <w:rsid w:val="00757A87"/>
    <w:rsid w:val="00763552"/>
    <w:rsid w:val="007739BE"/>
    <w:rsid w:val="007B2E27"/>
    <w:rsid w:val="007B3DA3"/>
    <w:rsid w:val="007B5920"/>
    <w:rsid w:val="007C61DD"/>
    <w:rsid w:val="007F393F"/>
    <w:rsid w:val="008030EE"/>
    <w:rsid w:val="00807B02"/>
    <w:rsid w:val="008147CA"/>
    <w:rsid w:val="008169D2"/>
    <w:rsid w:val="00823E4E"/>
    <w:rsid w:val="008A644A"/>
    <w:rsid w:val="008B3CB6"/>
    <w:rsid w:val="008E47DD"/>
    <w:rsid w:val="00954A7D"/>
    <w:rsid w:val="00954B79"/>
    <w:rsid w:val="009627C2"/>
    <w:rsid w:val="00962BA6"/>
    <w:rsid w:val="0097057C"/>
    <w:rsid w:val="0097391A"/>
    <w:rsid w:val="009749F2"/>
    <w:rsid w:val="00975530"/>
    <w:rsid w:val="00980E6A"/>
    <w:rsid w:val="009A2136"/>
    <w:rsid w:val="009A6864"/>
    <w:rsid w:val="009B63B8"/>
    <w:rsid w:val="009F33C5"/>
    <w:rsid w:val="009F635E"/>
    <w:rsid w:val="00A3104D"/>
    <w:rsid w:val="00A6216A"/>
    <w:rsid w:val="00A71FDD"/>
    <w:rsid w:val="00A7709E"/>
    <w:rsid w:val="00A969D6"/>
    <w:rsid w:val="00AA2EF5"/>
    <w:rsid w:val="00AC366B"/>
    <w:rsid w:val="00AE660A"/>
    <w:rsid w:val="00AF3119"/>
    <w:rsid w:val="00B2587C"/>
    <w:rsid w:val="00B30152"/>
    <w:rsid w:val="00B44947"/>
    <w:rsid w:val="00B50F60"/>
    <w:rsid w:val="00B64182"/>
    <w:rsid w:val="00B743F9"/>
    <w:rsid w:val="00B937A3"/>
    <w:rsid w:val="00BA5273"/>
    <w:rsid w:val="00BA5EB7"/>
    <w:rsid w:val="00BB12F0"/>
    <w:rsid w:val="00BC450C"/>
    <w:rsid w:val="00BC5423"/>
    <w:rsid w:val="00BE59E7"/>
    <w:rsid w:val="00BF0EEC"/>
    <w:rsid w:val="00C42525"/>
    <w:rsid w:val="00C42AAE"/>
    <w:rsid w:val="00C43EEC"/>
    <w:rsid w:val="00C5539C"/>
    <w:rsid w:val="00CA3699"/>
    <w:rsid w:val="00CB15C2"/>
    <w:rsid w:val="00CB7577"/>
    <w:rsid w:val="00D066F5"/>
    <w:rsid w:val="00D1789C"/>
    <w:rsid w:val="00D87FCC"/>
    <w:rsid w:val="00D97BEA"/>
    <w:rsid w:val="00DC23E8"/>
    <w:rsid w:val="00DD2CC0"/>
    <w:rsid w:val="00DE73B4"/>
    <w:rsid w:val="00E45EA4"/>
    <w:rsid w:val="00E64ADF"/>
    <w:rsid w:val="00E72921"/>
    <w:rsid w:val="00E74BFF"/>
    <w:rsid w:val="00E9006B"/>
    <w:rsid w:val="00EB1E82"/>
    <w:rsid w:val="00EC6132"/>
    <w:rsid w:val="00EE21DF"/>
    <w:rsid w:val="00F06B63"/>
    <w:rsid w:val="00F12D38"/>
    <w:rsid w:val="00F23759"/>
    <w:rsid w:val="00F57487"/>
    <w:rsid w:val="00F84410"/>
    <w:rsid w:val="00F85917"/>
    <w:rsid w:val="00F957E2"/>
    <w:rsid w:val="00FA07B5"/>
    <w:rsid w:val="00FC2241"/>
    <w:rsid w:val="00FD0DFE"/>
    <w:rsid w:val="00FF12F2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A3FC"/>
  <w15:chartTrackingRefBased/>
  <w15:docId w15:val="{465A241D-5AD2-4C06-BEB7-13A22B22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63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,BulletC,Wyliczanie,Obiekt,Bulle"/>
    <w:basedOn w:val="Normalny"/>
    <w:link w:val="AkapitzlistZnak"/>
    <w:uiPriority w:val="34"/>
    <w:qFormat/>
    <w:rsid w:val="007635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3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5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3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5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3552"/>
    <w:rPr>
      <w:color w:val="0563C1" w:themeColor="hyperlink"/>
      <w:u w:val="single"/>
    </w:r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locked/>
    <w:rsid w:val="007635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5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55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3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3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3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3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3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9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39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391A"/>
    <w:rPr>
      <w:vertAlign w:val="superscript"/>
    </w:rPr>
  </w:style>
  <w:style w:type="paragraph" w:styleId="Poprawka">
    <w:name w:val="Revision"/>
    <w:hidden/>
    <w:uiPriority w:val="99"/>
    <w:semiHidden/>
    <w:rsid w:val="0072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alizy@cppc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n@cppc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alizy@cppc.gov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9D07B2C9DAB4DA900EB166642D86D" ma:contentTypeVersion="13" ma:contentTypeDescription="Utwórz nowy dokument." ma:contentTypeScope="" ma:versionID="c3349c7561cd688384c4c9d4446a78f4">
  <xsd:schema xmlns:xsd="http://www.w3.org/2001/XMLSchema" xmlns:xs="http://www.w3.org/2001/XMLSchema" xmlns:p="http://schemas.microsoft.com/office/2006/metadata/properties" xmlns:ns3="29cd1bb5-d6dd-4475-9818-30c1638225d8" xmlns:ns4="f2f8ded0-1adf-45eb-bed9-7d1d677eae61" targetNamespace="http://schemas.microsoft.com/office/2006/metadata/properties" ma:root="true" ma:fieldsID="c2136f5b84826d21b3b611044e1ad027" ns3:_="" ns4:_="">
    <xsd:import namespace="29cd1bb5-d6dd-4475-9818-30c1638225d8"/>
    <xsd:import namespace="f2f8ded0-1adf-45eb-bed9-7d1d677eae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1bb5-d6dd-4475-9818-30c163822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ded0-1adf-45eb-bed9-7d1d677ea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F1607-8812-44B6-9D19-84CED6C1B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20D861-60E0-42B1-A724-C419F6430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0C67E0-32C1-4AD4-81D1-E6FE184EB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4F3F7B-CCBE-490E-9EAD-CA9347868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1bb5-d6dd-4475-9818-30c1638225d8"/>
    <ds:schemaRef ds:uri="f2f8ded0-1adf-45eb-bed9-7d1d677ea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1252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Kalbarczyk</dc:creator>
  <cp:keywords/>
  <dc:description/>
  <cp:lastModifiedBy>Aleksandra Osuch</cp:lastModifiedBy>
  <cp:revision>3</cp:revision>
  <cp:lastPrinted>2021-04-23T12:50:00Z</cp:lastPrinted>
  <dcterms:created xsi:type="dcterms:W3CDTF">2024-04-25T07:58:00Z</dcterms:created>
  <dcterms:modified xsi:type="dcterms:W3CDTF">2024-06-26T10:00:00Z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0x010100B319D07B2C9DAB4DA900EB166642D86D</vt:lpwstr>
  </property>
</Properties>
</file>